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61F2" w14:textId="77777777"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03DCB3" w14:textId="77777777" w:rsidTr="00431F42">
        <w:trPr>
          <w:cantSplit/>
        </w:trPr>
        <w:tc>
          <w:tcPr>
            <w:tcW w:w="0" w:type="auto"/>
            <w:tcMar>
              <w:top w:w="0" w:type="dxa"/>
              <w:left w:w="0" w:type="dxa"/>
              <w:right w:w="0" w:type="dxa"/>
            </w:tcMar>
          </w:tcPr>
          <w:p w14:paraId="4CC67859" w14:textId="2B436A23" w:rsidR="00AD784C" w:rsidRPr="00431F42" w:rsidRDefault="007978D8" w:rsidP="00CC3BB0">
            <w:pPr>
              <w:pStyle w:val="Documenttitle"/>
            </w:pPr>
            <w:r>
              <w:t>Public environmental reporting guidelines</w:t>
            </w:r>
          </w:p>
        </w:tc>
      </w:tr>
      <w:tr w:rsidR="00AD784C" w14:paraId="3CC68977" w14:textId="77777777" w:rsidTr="00431F42">
        <w:trPr>
          <w:cantSplit/>
        </w:trPr>
        <w:tc>
          <w:tcPr>
            <w:tcW w:w="0" w:type="auto"/>
          </w:tcPr>
          <w:p w14:paraId="3036AE39" w14:textId="3492CC72" w:rsidR="00386109" w:rsidRPr="00A1389F" w:rsidRDefault="007978D8" w:rsidP="009315BE">
            <w:pPr>
              <w:pStyle w:val="Documentsubtitle"/>
            </w:pPr>
            <w:r>
              <w:t xml:space="preserve">Guidance for Victorian </w:t>
            </w:r>
            <w:r w:rsidR="00EC2449" w:rsidRPr="005379DA">
              <w:t>public</w:t>
            </w:r>
            <w:r w:rsidR="00EC2449">
              <w:t xml:space="preserve"> hospitals,</w:t>
            </w:r>
            <w:r w:rsidR="00EC2449" w:rsidRPr="005379DA">
              <w:t xml:space="preserve"> health services</w:t>
            </w:r>
            <w:r w:rsidR="00EC2449">
              <w:t xml:space="preserve"> and</w:t>
            </w:r>
            <w:r w:rsidR="008138C6">
              <w:t xml:space="preserve"> </w:t>
            </w:r>
            <w:r w:rsidR="008138C6" w:rsidRPr="008138C6">
              <w:t>other Department of Health portfolio entities</w:t>
            </w:r>
          </w:p>
        </w:tc>
      </w:tr>
      <w:tr w:rsidR="00430393" w14:paraId="019AF1BB" w14:textId="77777777" w:rsidTr="00431F42">
        <w:trPr>
          <w:cantSplit/>
        </w:trPr>
        <w:tc>
          <w:tcPr>
            <w:tcW w:w="0" w:type="auto"/>
          </w:tcPr>
          <w:p w14:paraId="27945C05" w14:textId="5831EC4C" w:rsidR="00430393" w:rsidRDefault="00C11F59" w:rsidP="00430393">
            <w:pPr>
              <w:pStyle w:val="Bannermarking"/>
            </w:pPr>
            <w:fldSimple w:instr="FILLIN  &quot;Type the protective marking&quot; \d OFFICIAL \o  \* MERGEFORMAT">
              <w:r w:rsidR="00C52465">
                <w:t>OFFICIAL</w:t>
              </w:r>
            </w:fldSimple>
          </w:p>
        </w:tc>
      </w:tr>
    </w:tbl>
    <w:p w14:paraId="76E6FEDD" w14:textId="77777777" w:rsidR="00FE4081" w:rsidRPr="00FE4081" w:rsidRDefault="00FE4081" w:rsidP="00FE4081">
      <w:pPr>
        <w:pStyle w:val="Body"/>
        <w:sectPr w:rsidR="00FE4081" w:rsidRPr="00FE4081" w:rsidSect="002C5B7C">
          <w:type w:val="continuous"/>
          <w:pgSz w:w="11906" w:h="16838" w:code="9"/>
          <w:pgMar w:top="3969" w:right="1304" w:bottom="1418" w:left="1304" w:header="680" w:footer="851" w:gutter="0"/>
          <w:cols w:space="340"/>
          <w:docGrid w:linePitch="360"/>
        </w:sectPr>
      </w:pPr>
    </w:p>
    <w:p w14:paraId="70ED3A97" w14:textId="77777777" w:rsidR="00885D8E" w:rsidRPr="0055119B" w:rsidRDefault="00885D8E" w:rsidP="00885D8E">
      <w:pPr>
        <w:pStyle w:val="Accessibilitypara"/>
      </w:pPr>
      <w:r w:rsidRPr="0055119B">
        <w:lastRenderedPageBreak/>
        <w:t>To receive this document in another format</w:t>
      </w:r>
      <w:r>
        <w:t>, phone (03) 9830 3702, using the National Relay Service 13 36 77 if required, or</w:t>
      </w:r>
      <w:r w:rsidRPr="0055119B">
        <w:t xml:space="preserve"> email</w:t>
      </w:r>
      <w:r>
        <w:t xml:space="preserve"> </w:t>
      </w:r>
      <w:hyperlink r:id="rId12" w:history="1">
        <w:r w:rsidRPr="0054781A">
          <w:rPr>
            <w:rStyle w:val="Hyperlink"/>
            <w:lang w:val="en-US"/>
          </w:rPr>
          <w:t>sustainability@health.vic.gov.au</w:t>
        </w:r>
      </w:hyperlink>
      <w:r w:rsidRPr="0055119B">
        <w:t xml:space="preserve"> &lt;</w:t>
      </w:r>
      <w:r w:rsidRPr="00821837">
        <w:rPr>
          <w:lang w:val="en-US"/>
        </w:rPr>
        <w:t>sustainability@health.vic.gov.au</w:t>
      </w:r>
      <w:r w:rsidRPr="0055119B">
        <w:t>&gt;.</w:t>
      </w:r>
    </w:p>
    <w:p w14:paraId="57EDB933" w14:textId="77777777" w:rsidR="00885D8E" w:rsidRPr="0055119B" w:rsidRDefault="00885D8E" w:rsidP="00885D8E">
      <w:pPr>
        <w:pStyle w:val="Imprint"/>
      </w:pPr>
      <w:r w:rsidRPr="0055119B">
        <w:t>Authorised and published by the Victorian Government, 1 Treasury Place, Melbourne.</w:t>
      </w:r>
    </w:p>
    <w:p w14:paraId="55E6CD97" w14:textId="48429E57" w:rsidR="00885D8E" w:rsidRPr="0055119B" w:rsidRDefault="00885D8E" w:rsidP="00885D8E">
      <w:pPr>
        <w:pStyle w:val="Imprint"/>
      </w:pPr>
      <w:r w:rsidRPr="0055119B">
        <w:t xml:space="preserve">© State of Victoria, Australia, Department </w:t>
      </w:r>
      <w:r w:rsidRPr="001B058F">
        <w:t xml:space="preserve">of </w:t>
      </w:r>
      <w:r>
        <w:t>Health</w:t>
      </w:r>
      <w:r w:rsidRPr="0055119B">
        <w:t>,</w:t>
      </w:r>
      <w:r>
        <w:t xml:space="preserve"> Ju</w:t>
      </w:r>
      <w:r w:rsidR="00384553">
        <w:t>ly</w:t>
      </w:r>
      <w:r>
        <w:t xml:space="preserve"> 2023.</w:t>
      </w:r>
    </w:p>
    <w:p w14:paraId="126A018F" w14:textId="0D94C7A6" w:rsidR="00885D8E" w:rsidRPr="0055119B" w:rsidRDefault="00885D8E" w:rsidP="00885D8E">
      <w:pPr>
        <w:pStyle w:val="Imprint"/>
      </w:pPr>
      <w:r w:rsidRPr="0055119B">
        <w:t xml:space="preserve">ISBN </w:t>
      </w:r>
      <w:r w:rsidRPr="00916EF5">
        <w:t xml:space="preserve">978-1-76131-154-3 </w:t>
      </w:r>
      <w:r w:rsidRPr="0055119B">
        <w:t>(</w:t>
      </w:r>
      <w:r>
        <w:t>pdf/onlin</w:t>
      </w:r>
      <w:r w:rsidR="00C004CC">
        <w:t>e/</w:t>
      </w:r>
      <w:r w:rsidR="000E6761">
        <w:t xml:space="preserve">MS </w:t>
      </w:r>
      <w:r w:rsidR="00C004CC">
        <w:t>word)</w:t>
      </w:r>
      <w:r w:rsidRPr="0055119B">
        <w:t xml:space="preserve"> </w:t>
      </w:r>
    </w:p>
    <w:p w14:paraId="07CA8D6A" w14:textId="7F33E789" w:rsidR="00885D8E" w:rsidRPr="0008204A" w:rsidRDefault="00885D8E" w:rsidP="00885D8E">
      <w:pPr>
        <w:pStyle w:val="Imprint"/>
      </w:pPr>
      <w:r w:rsidRPr="0055119B">
        <w:t>Available at</w:t>
      </w:r>
      <w:r>
        <w:t xml:space="preserve"> </w:t>
      </w:r>
      <w:hyperlink r:id="rId13" w:history="1">
        <w:r w:rsidRPr="00E03A6E">
          <w:rPr>
            <w:rStyle w:val="Hyperlink"/>
          </w:rPr>
          <w:t>Health service environmental requirements and environmental management planning</w:t>
        </w:r>
      </w:hyperlink>
      <w:r w:rsidRPr="0055119B">
        <w:t xml:space="preserve"> &lt;</w:t>
      </w:r>
      <w:r w:rsidRPr="00E03A6E">
        <w:t>https://www.health.vic.gov.au/planning-infrastructure/health-service-environmental-requirements-and-environmental-management</w:t>
      </w:r>
      <w:r>
        <w:t>&gt;</w:t>
      </w:r>
      <w:r w:rsidR="00D90E01">
        <w:t>.</w:t>
      </w:r>
    </w:p>
    <w:p w14:paraId="3F965ADF" w14:textId="3C2EF802" w:rsidR="0008204A" w:rsidRPr="0008204A" w:rsidRDefault="0008204A" w:rsidP="0008204A">
      <w:pPr>
        <w:pStyle w:val="Body"/>
      </w:pPr>
      <w:r w:rsidRPr="0008204A">
        <w:br w:type="page"/>
      </w:r>
    </w:p>
    <w:p w14:paraId="02CB7B4C" w14:textId="77777777" w:rsidR="00187B3D" w:rsidRDefault="00AD784C" w:rsidP="00FB2378">
      <w:pPr>
        <w:pStyle w:val="TOCheadingreport"/>
      </w:pPr>
      <w:bookmarkStart w:id="0" w:name="_Toc134171697"/>
      <w:bookmarkStart w:id="1" w:name="_Toc134437642"/>
      <w:r>
        <w:lastRenderedPageBreak/>
        <w:t>Contents</w:t>
      </w:r>
      <w:bookmarkEnd w:id="0"/>
      <w:bookmarkEnd w:id="1"/>
    </w:p>
    <w:p w14:paraId="10623510" w14:textId="2DBADDF0" w:rsidR="004363BA" w:rsidRDefault="00AD784C">
      <w:pPr>
        <w:pStyle w:val="TOC1"/>
        <w:tabs>
          <w:tab w:val="left" w:pos="567"/>
        </w:tabs>
        <w:rPr>
          <w:rFonts w:asciiTheme="minorHAnsi" w:eastAsiaTheme="minorEastAsia" w:hAnsiTheme="minorHAnsi" w:cstheme="minorBidi"/>
          <w:b w:val="0"/>
          <w:sz w:val="22"/>
          <w:szCs w:val="22"/>
          <w:lang w:eastAsia="en-AU"/>
        </w:rPr>
      </w:pPr>
      <w:r>
        <w:rPr>
          <w:rFonts w:eastAsia="MS Gothic" w:cs="Arial"/>
          <w:bCs/>
          <w:color w:val="201547"/>
          <w:kern w:val="32"/>
          <w:sz w:val="44"/>
          <w:szCs w:val="44"/>
        </w:rPr>
        <w:fldChar w:fldCharType="begin"/>
      </w:r>
      <w:r w:rsidR="00472049">
        <w:instrText xml:space="preserve"> TOC \h \z \t "Heading 1,1,Heading 2,2" </w:instrText>
      </w:r>
      <w:r>
        <w:rPr>
          <w:rFonts w:eastAsia="MS Gothic" w:cs="Arial"/>
          <w:bCs/>
          <w:color w:val="201547"/>
          <w:kern w:val="32"/>
          <w:sz w:val="44"/>
          <w:szCs w:val="44"/>
        </w:rPr>
        <w:fldChar w:fldCharType="separate"/>
      </w:r>
      <w:hyperlink w:anchor="_Toc138239097" w:history="1">
        <w:r w:rsidR="004363BA" w:rsidRPr="000E2F37">
          <w:rPr>
            <w:rStyle w:val="Hyperlink"/>
          </w:rPr>
          <w:t>1.</w:t>
        </w:r>
        <w:r w:rsidR="004363BA">
          <w:rPr>
            <w:rFonts w:asciiTheme="minorHAnsi" w:eastAsiaTheme="minorEastAsia" w:hAnsiTheme="minorHAnsi" w:cstheme="minorBidi"/>
            <w:b w:val="0"/>
            <w:sz w:val="22"/>
            <w:szCs w:val="22"/>
            <w:lang w:eastAsia="en-AU"/>
          </w:rPr>
          <w:tab/>
        </w:r>
        <w:r w:rsidR="004363BA" w:rsidRPr="000E2F37">
          <w:rPr>
            <w:rStyle w:val="Hyperlink"/>
          </w:rPr>
          <w:t>Introduction</w:t>
        </w:r>
        <w:r w:rsidR="004363BA">
          <w:rPr>
            <w:webHidden/>
          </w:rPr>
          <w:tab/>
        </w:r>
        <w:r w:rsidR="004363BA">
          <w:rPr>
            <w:webHidden/>
          </w:rPr>
          <w:fldChar w:fldCharType="begin"/>
        </w:r>
        <w:r w:rsidR="004363BA">
          <w:rPr>
            <w:webHidden/>
          </w:rPr>
          <w:instrText xml:space="preserve"> PAGEREF _Toc138239097 \h </w:instrText>
        </w:r>
        <w:r w:rsidR="004363BA">
          <w:rPr>
            <w:webHidden/>
          </w:rPr>
        </w:r>
        <w:r w:rsidR="004363BA">
          <w:rPr>
            <w:webHidden/>
          </w:rPr>
          <w:fldChar w:fldCharType="separate"/>
        </w:r>
        <w:r w:rsidR="00F9177B">
          <w:rPr>
            <w:webHidden/>
          </w:rPr>
          <w:t>5</w:t>
        </w:r>
        <w:r w:rsidR="004363BA">
          <w:rPr>
            <w:webHidden/>
          </w:rPr>
          <w:fldChar w:fldCharType="end"/>
        </w:r>
      </w:hyperlink>
    </w:p>
    <w:p w14:paraId="229A587E" w14:textId="19D883DD" w:rsidR="004363BA" w:rsidRDefault="00A84C51">
      <w:pPr>
        <w:pStyle w:val="TOC2"/>
        <w:tabs>
          <w:tab w:val="left" w:pos="851"/>
        </w:tabs>
        <w:rPr>
          <w:rFonts w:asciiTheme="minorHAnsi" w:eastAsiaTheme="minorEastAsia" w:hAnsiTheme="minorHAnsi" w:cstheme="minorBidi"/>
          <w:sz w:val="22"/>
          <w:szCs w:val="22"/>
          <w:lang w:eastAsia="en-AU"/>
        </w:rPr>
      </w:pPr>
      <w:hyperlink w:anchor="_Toc138239098" w:history="1">
        <w:r w:rsidR="004363BA" w:rsidRPr="000E2F37">
          <w:rPr>
            <w:rStyle w:val="Hyperlink"/>
          </w:rPr>
          <w:t>1.1.</w:t>
        </w:r>
        <w:r w:rsidR="004363BA">
          <w:rPr>
            <w:rFonts w:asciiTheme="minorHAnsi" w:eastAsiaTheme="minorEastAsia" w:hAnsiTheme="minorHAnsi" w:cstheme="minorBidi"/>
            <w:sz w:val="22"/>
            <w:szCs w:val="22"/>
            <w:lang w:eastAsia="en-AU"/>
          </w:rPr>
          <w:tab/>
        </w:r>
        <w:r w:rsidR="004363BA" w:rsidRPr="000E2F37">
          <w:rPr>
            <w:rStyle w:val="Hyperlink"/>
          </w:rPr>
          <w:t>About public environmental reporting</w:t>
        </w:r>
        <w:r w:rsidR="004363BA">
          <w:rPr>
            <w:webHidden/>
          </w:rPr>
          <w:tab/>
        </w:r>
        <w:r w:rsidR="004363BA">
          <w:rPr>
            <w:webHidden/>
          </w:rPr>
          <w:fldChar w:fldCharType="begin"/>
        </w:r>
        <w:r w:rsidR="004363BA">
          <w:rPr>
            <w:webHidden/>
          </w:rPr>
          <w:instrText xml:space="preserve"> PAGEREF _Toc138239098 \h </w:instrText>
        </w:r>
        <w:r w:rsidR="004363BA">
          <w:rPr>
            <w:webHidden/>
          </w:rPr>
        </w:r>
        <w:r w:rsidR="004363BA">
          <w:rPr>
            <w:webHidden/>
          </w:rPr>
          <w:fldChar w:fldCharType="separate"/>
        </w:r>
        <w:r w:rsidR="00F9177B">
          <w:rPr>
            <w:webHidden/>
          </w:rPr>
          <w:t>5</w:t>
        </w:r>
        <w:r w:rsidR="004363BA">
          <w:rPr>
            <w:webHidden/>
          </w:rPr>
          <w:fldChar w:fldCharType="end"/>
        </w:r>
      </w:hyperlink>
    </w:p>
    <w:p w14:paraId="16419DA9" w14:textId="33951B14" w:rsidR="004363BA" w:rsidRDefault="00A84C51">
      <w:pPr>
        <w:pStyle w:val="TOC2"/>
        <w:tabs>
          <w:tab w:val="left" w:pos="851"/>
        </w:tabs>
        <w:rPr>
          <w:rFonts w:asciiTheme="minorHAnsi" w:eastAsiaTheme="minorEastAsia" w:hAnsiTheme="minorHAnsi" w:cstheme="minorBidi"/>
          <w:sz w:val="22"/>
          <w:szCs w:val="22"/>
          <w:lang w:eastAsia="en-AU"/>
        </w:rPr>
      </w:pPr>
      <w:hyperlink w:anchor="_Toc138239099" w:history="1">
        <w:r w:rsidR="004363BA" w:rsidRPr="000E2F37">
          <w:rPr>
            <w:rStyle w:val="Hyperlink"/>
          </w:rPr>
          <w:t>1.2.</w:t>
        </w:r>
        <w:r w:rsidR="004363BA">
          <w:rPr>
            <w:rFonts w:asciiTheme="minorHAnsi" w:eastAsiaTheme="minorEastAsia" w:hAnsiTheme="minorHAnsi" w:cstheme="minorBidi"/>
            <w:sz w:val="22"/>
            <w:szCs w:val="22"/>
            <w:lang w:eastAsia="en-AU"/>
          </w:rPr>
          <w:tab/>
        </w:r>
        <w:r w:rsidR="004363BA" w:rsidRPr="000E2F37">
          <w:rPr>
            <w:rStyle w:val="Hyperlink"/>
          </w:rPr>
          <w:t>Purpose of these guidelines</w:t>
        </w:r>
        <w:r w:rsidR="004363BA">
          <w:rPr>
            <w:webHidden/>
          </w:rPr>
          <w:tab/>
        </w:r>
        <w:r w:rsidR="004363BA">
          <w:rPr>
            <w:webHidden/>
          </w:rPr>
          <w:fldChar w:fldCharType="begin"/>
        </w:r>
        <w:r w:rsidR="004363BA">
          <w:rPr>
            <w:webHidden/>
          </w:rPr>
          <w:instrText xml:space="preserve"> PAGEREF _Toc138239099 \h </w:instrText>
        </w:r>
        <w:r w:rsidR="004363BA">
          <w:rPr>
            <w:webHidden/>
          </w:rPr>
        </w:r>
        <w:r w:rsidR="004363BA">
          <w:rPr>
            <w:webHidden/>
          </w:rPr>
          <w:fldChar w:fldCharType="separate"/>
        </w:r>
        <w:r w:rsidR="00F9177B">
          <w:rPr>
            <w:webHidden/>
          </w:rPr>
          <w:t>5</w:t>
        </w:r>
        <w:r w:rsidR="004363BA">
          <w:rPr>
            <w:webHidden/>
          </w:rPr>
          <w:fldChar w:fldCharType="end"/>
        </w:r>
      </w:hyperlink>
    </w:p>
    <w:p w14:paraId="6E4A2599" w14:textId="0783428F"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0" w:history="1">
        <w:r w:rsidR="004363BA" w:rsidRPr="000E2F37">
          <w:rPr>
            <w:rStyle w:val="Hyperlink"/>
          </w:rPr>
          <w:t>1.3.</w:t>
        </w:r>
        <w:r w:rsidR="004363BA">
          <w:rPr>
            <w:rFonts w:asciiTheme="minorHAnsi" w:eastAsiaTheme="minorEastAsia" w:hAnsiTheme="minorHAnsi" w:cstheme="minorBidi"/>
            <w:sz w:val="22"/>
            <w:szCs w:val="22"/>
            <w:lang w:eastAsia="en-AU"/>
          </w:rPr>
          <w:tab/>
        </w:r>
        <w:r w:rsidR="004363BA" w:rsidRPr="000E2F37">
          <w:rPr>
            <w:rStyle w:val="Hyperlink"/>
          </w:rPr>
          <w:t>Scope of emissions</w:t>
        </w:r>
        <w:r w:rsidR="004363BA">
          <w:rPr>
            <w:webHidden/>
          </w:rPr>
          <w:tab/>
        </w:r>
        <w:r w:rsidR="004363BA">
          <w:rPr>
            <w:webHidden/>
          </w:rPr>
          <w:fldChar w:fldCharType="begin"/>
        </w:r>
        <w:r w:rsidR="004363BA">
          <w:rPr>
            <w:webHidden/>
          </w:rPr>
          <w:instrText xml:space="preserve"> PAGEREF _Toc138239100 \h </w:instrText>
        </w:r>
        <w:r w:rsidR="004363BA">
          <w:rPr>
            <w:webHidden/>
          </w:rPr>
        </w:r>
        <w:r w:rsidR="004363BA">
          <w:rPr>
            <w:webHidden/>
          </w:rPr>
          <w:fldChar w:fldCharType="separate"/>
        </w:r>
        <w:r w:rsidR="00F9177B">
          <w:rPr>
            <w:webHidden/>
          </w:rPr>
          <w:t>5</w:t>
        </w:r>
        <w:r w:rsidR="004363BA">
          <w:rPr>
            <w:webHidden/>
          </w:rPr>
          <w:fldChar w:fldCharType="end"/>
        </w:r>
      </w:hyperlink>
    </w:p>
    <w:p w14:paraId="2D914A2E" w14:textId="5B4E623C"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1" w:history="1">
        <w:r w:rsidR="004363BA" w:rsidRPr="000E2F37">
          <w:rPr>
            <w:rStyle w:val="Hyperlink"/>
          </w:rPr>
          <w:t>1.4.</w:t>
        </w:r>
        <w:r w:rsidR="004363BA">
          <w:rPr>
            <w:rFonts w:asciiTheme="minorHAnsi" w:eastAsiaTheme="minorEastAsia" w:hAnsiTheme="minorHAnsi" w:cstheme="minorBidi"/>
            <w:sz w:val="22"/>
            <w:szCs w:val="22"/>
            <w:lang w:eastAsia="en-AU"/>
          </w:rPr>
          <w:tab/>
        </w:r>
        <w:r w:rsidR="004363BA" w:rsidRPr="000E2F37">
          <w:rPr>
            <w:rStyle w:val="Hyperlink"/>
          </w:rPr>
          <w:t>Glossary</w:t>
        </w:r>
        <w:r w:rsidR="004363BA">
          <w:rPr>
            <w:webHidden/>
          </w:rPr>
          <w:tab/>
        </w:r>
        <w:r w:rsidR="004363BA">
          <w:rPr>
            <w:webHidden/>
          </w:rPr>
          <w:fldChar w:fldCharType="begin"/>
        </w:r>
        <w:r w:rsidR="004363BA">
          <w:rPr>
            <w:webHidden/>
          </w:rPr>
          <w:instrText xml:space="preserve"> PAGEREF _Toc138239101 \h </w:instrText>
        </w:r>
        <w:r w:rsidR="004363BA">
          <w:rPr>
            <w:webHidden/>
          </w:rPr>
        </w:r>
        <w:r w:rsidR="004363BA">
          <w:rPr>
            <w:webHidden/>
          </w:rPr>
          <w:fldChar w:fldCharType="separate"/>
        </w:r>
        <w:r w:rsidR="00F9177B">
          <w:rPr>
            <w:webHidden/>
          </w:rPr>
          <w:t>6</w:t>
        </w:r>
        <w:r w:rsidR="004363BA">
          <w:rPr>
            <w:webHidden/>
          </w:rPr>
          <w:fldChar w:fldCharType="end"/>
        </w:r>
      </w:hyperlink>
    </w:p>
    <w:p w14:paraId="39D79A42" w14:textId="2DD4EABB" w:rsidR="004363BA" w:rsidRDefault="00A84C51">
      <w:pPr>
        <w:pStyle w:val="TOC1"/>
        <w:tabs>
          <w:tab w:val="left" w:pos="567"/>
        </w:tabs>
        <w:rPr>
          <w:rFonts w:asciiTheme="minorHAnsi" w:eastAsiaTheme="minorEastAsia" w:hAnsiTheme="minorHAnsi" w:cstheme="minorBidi"/>
          <w:b w:val="0"/>
          <w:sz w:val="22"/>
          <w:szCs w:val="22"/>
          <w:lang w:eastAsia="en-AU"/>
        </w:rPr>
      </w:pPr>
      <w:hyperlink w:anchor="_Toc138239102" w:history="1">
        <w:r w:rsidR="004363BA" w:rsidRPr="000E2F37">
          <w:rPr>
            <w:rStyle w:val="Hyperlink"/>
          </w:rPr>
          <w:t>2.</w:t>
        </w:r>
        <w:r w:rsidR="004363BA">
          <w:rPr>
            <w:rFonts w:asciiTheme="minorHAnsi" w:eastAsiaTheme="minorEastAsia" w:hAnsiTheme="minorHAnsi" w:cstheme="minorBidi"/>
            <w:b w:val="0"/>
            <w:sz w:val="22"/>
            <w:szCs w:val="22"/>
            <w:lang w:eastAsia="en-AU"/>
          </w:rPr>
          <w:tab/>
        </w:r>
        <w:r w:rsidR="004363BA" w:rsidRPr="000E2F37">
          <w:rPr>
            <w:rStyle w:val="Hyperlink"/>
          </w:rPr>
          <w:t>Reporting under FRD 24</w:t>
        </w:r>
        <w:r w:rsidR="004363BA">
          <w:rPr>
            <w:webHidden/>
          </w:rPr>
          <w:tab/>
        </w:r>
        <w:r w:rsidR="004363BA">
          <w:rPr>
            <w:webHidden/>
          </w:rPr>
          <w:fldChar w:fldCharType="begin"/>
        </w:r>
        <w:r w:rsidR="004363BA">
          <w:rPr>
            <w:webHidden/>
          </w:rPr>
          <w:instrText xml:space="preserve"> PAGEREF _Toc138239102 \h </w:instrText>
        </w:r>
        <w:r w:rsidR="004363BA">
          <w:rPr>
            <w:webHidden/>
          </w:rPr>
        </w:r>
        <w:r w:rsidR="004363BA">
          <w:rPr>
            <w:webHidden/>
          </w:rPr>
          <w:fldChar w:fldCharType="separate"/>
        </w:r>
        <w:r w:rsidR="00F9177B">
          <w:rPr>
            <w:webHidden/>
          </w:rPr>
          <w:t>7</w:t>
        </w:r>
        <w:r w:rsidR="004363BA">
          <w:rPr>
            <w:webHidden/>
          </w:rPr>
          <w:fldChar w:fldCharType="end"/>
        </w:r>
      </w:hyperlink>
    </w:p>
    <w:p w14:paraId="1F459DC3" w14:textId="3D9BC792"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3" w:history="1">
        <w:r w:rsidR="004363BA" w:rsidRPr="000E2F37">
          <w:rPr>
            <w:rStyle w:val="Hyperlink"/>
          </w:rPr>
          <w:t>2.1.</w:t>
        </w:r>
        <w:r w:rsidR="004363BA">
          <w:rPr>
            <w:rFonts w:asciiTheme="minorHAnsi" w:eastAsiaTheme="minorEastAsia" w:hAnsiTheme="minorHAnsi" w:cstheme="minorBidi"/>
            <w:sz w:val="22"/>
            <w:szCs w:val="22"/>
            <w:lang w:eastAsia="en-AU"/>
          </w:rPr>
          <w:tab/>
        </w:r>
        <w:r w:rsidR="004363BA" w:rsidRPr="000E2F37">
          <w:rPr>
            <w:rStyle w:val="Hyperlink"/>
          </w:rPr>
          <w:t>Background</w:t>
        </w:r>
        <w:r w:rsidR="004363BA">
          <w:rPr>
            <w:webHidden/>
          </w:rPr>
          <w:tab/>
        </w:r>
        <w:r w:rsidR="004363BA">
          <w:rPr>
            <w:webHidden/>
          </w:rPr>
          <w:fldChar w:fldCharType="begin"/>
        </w:r>
        <w:r w:rsidR="004363BA">
          <w:rPr>
            <w:webHidden/>
          </w:rPr>
          <w:instrText xml:space="preserve"> PAGEREF _Toc138239103 \h </w:instrText>
        </w:r>
        <w:r w:rsidR="004363BA">
          <w:rPr>
            <w:webHidden/>
          </w:rPr>
        </w:r>
        <w:r w:rsidR="004363BA">
          <w:rPr>
            <w:webHidden/>
          </w:rPr>
          <w:fldChar w:fldCharType="separate"/>
        </w:r>
        <w:r w:rsidR="00F9177B">
          <w:rPr>
            <w:webHidden/>
          </w:rPr>
          <w:t>7</w:t>
        </w:r>
        <w:r w:rsidR="004363BA">
          <w:rPr>
            <w:webHidden/>
          </w:rPr>
          <w:fldChar w:fldCharType="end"/>
        </w:r>
      </w:hyperlink>
    </w:p>
    <w:p w14:paraId="4CC1F5C4" w14:textId="5C0733BD"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4" w:history="1">
        <w:r w:rsidR="004363BA" w:rsidRPr="000E2F37">
          <w:rPr>
            <w:rStyle w:val="Hyperlink"/>
          </w:rPr>
          <w:t>2.2.</w:t>
        </w:r>
        <w:r w:rsidR="004363BA">
          <w:rPr>
            <w:rFonts w:asciiTheme="minorHAnsi" w:eastAsiaTheme="minorEastAsia" w:hAnsiTheme="minorHAnsi" w:cstheme="minorBidi"/>
            <w:sz w:val="22"/>
            <w:szCs w:val="22"/>
            <w:lang w:eastAsia="en-AU"/>
          </w:rPr>
          <w:tab/>
        </w:r>
        <w:r w:rsidR="004363BA" w:rsidRPr="000E2F37">
          <w:rPr>
            <w:rStyle w:val="Hyperlink"/>
          </w:rPr>
          <w:t>Reporting tiers</w:t>
        </w:r>
        <w:r w:rsidR="004363BA">
          <w:rPr>
            <w:webHidden/>
          </w:rPr>
          <w:tab/>
        </w:r>
        <w:r w:rsidR="004363BA">
          <w:rPr>
            <w:webHidden/>
          </w:rPr>
          <w:fldChar w:fldCharType="begin"/>
        </w:r>
        <w:r w:rsidR="004363BA">
          <w:rPr>
            <w:webHidden/>
          </w:rPr>
          <w:instrText xml:space="preserve"> PAGEREF _Toc138239104 \h </w:instrText>
        </w:r>
        <w:r w:rsidR="004363BA">
          <w:rPr>
            <w:webHidden/>
          </w:rPr>
        </w:r>
        <w:r w:rsidR="004363BA">
          <w:rPr>
            <w:webHidden/>
          </w:rPr>
          <w:fldChar w:fldCharType="separate"/>
        </w:r>
        <w:r w:rsidR="00F9177B">
          <w:rPr>
            <w:webHidden/>
          </w:rPr>
          <w:t>7</w:t>
        </w:r>
        <w:r w:rsidR="004363BA">
          <w:rPr>
            <w:webHidden/>
          </w:rPr>
          <w:fldChar w:fldCharType="end"/>
        </w:r>
      </w:hyperlink>
    </w:p>
    <w:p w14:paraId="47FE3552" w14:textId="764D5020"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5" w:history="1">
        <w:r w:rsidR="004363BA" w:rsidRPr="000E2F37">
          <w:rPr>
            <w:rStyle w:val="Hyperlink"/>
          </w:rPr>
          <w:t>2.3.</w:t>
        </w:r>
        <w:r w:rsidR="004363BA">
          <w:rPr>
            <w:rFonts w:asciiTheme="minorHAnsi" w:eastAsiaTheme="minorEastAsia" w:hAnsiTheme="minorHAnsi" w:cstheme="minorBidi"/>
            <w:sz w:val="22"/>
            <w:szCs w:val="22"/>
            <w:lang w:eastAsia="en-AU"/>
          </w:rPr>
          <w:tab/>
        </w:r>
        <w:r w:rsidR="004363BA" w:rsidRPr="000E2F37">
          <w:rPr>
            <w:rStyle w:val="Hyperlink"/>
          </w:rPr>
          <w:t>Organisational boundary</w:t>
        </w:r>
        <w:r w:rsidR="004363BA">
          <w:rPr>
            <w:webHidden/>
          </w:rPr>
          <w:tab/>
        </w:r>
        <w:r w:rsidR="004363BA">
          <w:rPr>
            <w:webHidden/>
          </w:rPr>
          <w:fldChar w:fldCharType="begin"/>
        </w:r>
        <w:r w:rsidR="004363BA">
          <w:rPr>
            <w:webHidden/>
          </w:rPr>
          <w:instrText xml:space="preserve"> PAGEREF _Toc138239105 \h </w:instrText>
        </w:r>
        <w:r w:rsidR="004363BA">
          <w:rPr>
            <w:webHidden/>
          </w:rPr>
        </w:r>
        <w:r w:rsidR="004363BA">
          <w:rPr>
            <w:webHidden/>
          </w:rPr>
          <w:fldChar w:fldCharType="separate"/>
        </w:r>
        <w:r w:rsidR="00F9177B">
          <w:rPr>
            <w:webHidden/>
          </w:rPr>
          <w:t>8</w:t>
        </w:r>
        <w:r w:rsidR="004363BA">
          <w:rPr>
            <w:webHidden/>
          </w:rPr>
          <w:fldChar w:fldCharType="end"/>
        </w:r>
      </w:hyperlink>
    </w:p>
    <w:p w14:paraId="7E5071D0" w14:textId="00096808"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6" w:history="1">
        <w:r w:rsidR="004363BA" w:rsidRPr="000E2F37">
          <w:rPr>
            <w:rStyle w:val="Hyperlink"/>
          </w:rPr>
          <w:t>2.4.</w:t>
        </w:r>
        <w:r w:rsidR="004363BA">
          <w:rPr>
            <w:rFonts w:asciiTheme="minorHAnsi" w:eastAsiaTheme="minorEastAsia" w:hAnsiTheme="minorHAnsi" w:cstheme="minorBidi"/>
            <w:sz w:val="22"/>
            <w:szCs w:val="22"/>
            <w:lang w:eastAsia="en-AU"/>
          </w:rPr>
          <w:tab/>
        </w:r>
        <w:r w:rsidR="004363BA" w:rsidRPr="000E2F37">
          <w:rPr>
            <w:rStyle w:val="Hyperlink"/>
          </w:rPr>
          <w:t>Materiality</w:t>
        </w:r>
        <w:r w:rsidR="004363BA">
          <w:rPr>
            <w:webHidden/>
          </w:rPr>
          <w:tab/>
        </w:r>
        <w:r w:rsidR="004363BA">
          <w:rPr>
            <w:webHidden/>
          </w:rPr>
          <w:fldChar w:fldCharType="begin"/>
        </w:r>
        <w:r w:rsidR="004363BA">
          <w:rPr>
            <w:webHidden/>
          </w:rPr>
          <w:instrText xml:space="preserve"> PAGEREF _Toc138239106 \h </w:instrText>
        </w:r>
        <w:r w:rsidR="004363BA">
          <w:rPr>
            <w:webHidden/>
          </w:rPr>
        </w:r>
        <w:r w:rsidR="004363BA">
          <w:rPr>
            <w:webHidden/>
          </w:rPr>
          <w:fldChar w:fldCharType="separate"/>
        </w:r>
        <w:r w:rsidR="00F9177B">
          <w:rPr>
            <w:webHidden/>
          </w:rPr>
          <w:t>8</w:t>
        </w:r>
        <w:r w:rsidR="004363BA">
          <w:rPr>
            <w:webHidden/>
          </w:rPr>
          <w:fldChar w:fldCharType="end"/>
        </w:r>
      </w:hyperlink>
    </w:p>
    <w:p w14:paraId="6F2B2F65" w14:textId="086C3EF1"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7" w:history="1">
        <w:r w:rsidR="004363BA" w:rsidRPr="000E2F37">
          <w:rPr>
            <w:rStyle w:val="Hyperlink"/>
          </w:rPr>
          <w:t>2.5.</w:t>
        </w:r>
        <w:r w:rsidR="004363BA">
          <w:rPr>
            <w:rFonts w:asciiTheme="minorHAnsi" w:eastAsiaTheme="minorEastAsia" w:hAnsiTheme="minorHAnsi" w:cstheme="minorBidi"/>
            <w:sz w:val="22"/>
            <w:szCs w:val="22"/>
            <w:lang w:eastAsia="en-AU"/>
          </w:rPr>
          <w:tab/>
        </w:r>
        <w:r w:rsidR="004363BA" w:rsidRPr="000E2F37">
          <w:rPr>
            <w:rStyle w:val="Hyperlink"/>
          </w:rPr>
          <w:t>Accounting year</w:t>
        </w:r>
        <w:r w:rsidR="004363BA">
          <w:rPr>
            <w:webHidden/>
          </w:rPr>
          <w:tab/>
        </w:r>
        <w:r w:rsidR="004363BA">
          <w:rPr>
            <w:webHidden/>
          </w:rPr>
          <w:fldChar w:fldCharType="begin"/>
        </w:r>
        <w:r w:rsidR="004363BA">
          <w:rPr>
            <w:webHidden/>
          </w:rPr>
          <w:instrText xml:space="preserve"> PAGEREF _Toc138239107 \h </w:instrText>
        </w:r>
        <w:r w:rsidR="004363BA">
          <w:rPr>
            <w:webHidden/>
          </w:rPr>
        </w:r>
        <w:r w:rsidR="004363BA">
          <w:rPr>
            <w:webHidden/>
          </w:rPr>
          <w:fldChar w:fldCharType="separate"/>
        </w:r>
        <w:r w:rsidR="00F9177B">
          <w:rPr>
            <w:webHidden/>
          </w:rPr>
          <w:t>8</w:t>
        </w:r>
        <w:r w:rsidR="004363BA">
          <w:rPr>
            <w:webHidden/>
          </w:rPr>
          <w:fldChar w:fldCharType="end"/>
        </w:r>
      </w:hyperlink>
    </w:p>
    <w:p w14:paraId="66C63930" w14:textId="666AF151"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8" w:history="1">
        <w:r w:rsidR="004363BA" w:rsidRPr="000E2F37">
          <w:rPr>
            <w:rStyle w:val="Hyperlink"/>
          </w:rPr>
          <w:t>2.6.</w:t>
        </w:r>
        <w:r w:rsidR="004363BA">
          <w:rPr>
            <w:rFonts w:asciiTheme="minorHAnsi" w:eastAsiaTheme="minorEastAsia" w:hAnsiTheme="minorHAnsi" w:cstheme="minorBidi"/>
            <w:sz w:val="22"/>
            <w:szCs w:val="22"/>
            <w:lang w:eastAsia="en-AU"/>
          </w:rPr>
          <w:tab/>
        </w:r>
        <w:r w:rsidR="004363BA" w:rsidRPr="000E2F37">
          <w:rPr>
            <w:rStyle w:val="Hyperlink"/>
          </w:rPr>
          <w:t>Qualitative disclosures</w:t>
        </w:r>
        <w:r w:rsidR="004363BA">
          <w:rPr>
            <w:webHidden/>
          </w:rPr>
          <w:tab/>
        </w:r>
        <w:r w:rsidR="004363BA">
          <w:rPr>
            <w:webHidden/>
          </w:rPr>
          <w:fldChar w:fldCharType="begin"/>
        </w:r>
        <w:r w:rsidR="004363BA">
          <w:rPr>
            <w:webHidden/>
          </w:rPr>
          <w:instrText xml:space="preserve"> PAGEREF _Toc138239108 \h </w:instrText>
        </w:r>
        <w:r w:rsidR="004363BA">
          <w:rPr>
            <w:webHidden/>
          </w:rPr>
        </w:r>
        <w:r w:rsidR="004363BA">
          <w:rPr>
            <w:webHidden/>
          </w:rPr>
          <w:fldChar w:fldCharType="separate"/>
        </w:r>
        <w:r w:rsidR="00F9177B">
          <w:rPr>
            <w:webHidden/>
          </w:rPr>
          <w:t>9</w:t>
        </w:r>
        <w:r w:rsidR="004363BA">
          <w:rPr>
            <w:webHidden/>
          </w:rPr>
          <w:fldChar w:fldCharType="end"/>
        </w:r>
      </w:hyperlink>
    </w:p>
    <w:p w14:paraId="5D8CDE3F" w14:textId="46228871"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09" w:history="1">
        <w:r w:rsidR="004363BA" w:rsidRPr="000E2F37">
          <w:rPr>
            <w:rStyle w:val="Hyperlink"/>
            <w:rFonts w:eastAsia="Times"/>
          </w:rPr>
          <w:t>2.7.</w:t>
        </w:r>
        <w:r w:rsidR="004363BA">
          <w:rPr>
            <w:rFonts w:asciiTheme="minorHAnsi" w:eastAsiaTheme="minorEastAsia" w:hAnsiTheme="minorHAnsi" w:cstheme="minorBidi"/>
            <w:sz w:val="22"/>
            <w:szCs w:val="22"/>
            <w:lang w:eastAsia="en-AU"/>
          </w:rPr>
          <w:tab/>
        </w:r>
        <w:r w:rsidR="004363BA" w:rsidRPr="000E2F37">
          <w:rPr>
            <w:rStyle w:val="Hyperlink"/>
            <w:rFonts w:eastAsia="Times"/>
          </w:rPr>
          <w:t>Normalising factors</w:t>
        </w:r>
        <w:r w:rsidR="004363BA">
          <w:rPr>
            <w:webHidden/>
          </w:rPr>
          <w:tab/>
        </w:r>
        <w:r w:rsidR="004363BA">
          <w:rPr>
            <w:webHidden/>
          </w:rPr>
          <w:fldChar w:fldCharType="begin"/>
        </w:r>
        <w:r w:rsidR="004363BA">
          <w:rPr>
            <w:webHidden/>
          </w:rPr>
          <w:instrText xml:space="preserve"> PAGEREF _Toc138239109 \h </w:instrText>
        </w:r>
        <w:r w:rsidR="004363BA">
          <w:rPr>
            <w:webHidden/>
          </w:rPr>
        </w:r>
        <w:r w:rsidR="004363BA">
          <w:rPr>
            <w:webHidden/>
          </w:rPr>
          <w:fldChar w:fldCharType="separate"/>
        </w:r>
        <w:r w:rsidR="00F9177B">
          <w:rPr>
            <w:webHidden/>
          </w:rPr>
          <w:t>9</w:t>
        </w:r>
        <w:r w:rsidR="004363BA">
          <w:rPr>
            <w:webHidden/>
          </w:rPr>
          <w:fldChar w:fldCharType="end"/>
        </w:r>
      </w:hyperlink>
    </w:p>
    <w:p w14:paraId="003701BD" w14:textId="3F938AEE"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0" w:history="1">
        <w:r w:rsidR="004363BA" w:rsidRPr="000E2F37">
          <w:rPr>
            <w:rStyle w:val="Hyperlink"/>
            <w:rFonts w:eastAsia="Times"/>
          </w:rPr>
          <w:t>2.8.</w:t>
        </w:r>
        <w:r w:rsidR="004363BA">
          <w:rPr>
            <w:rFonts w:asciiTheme="minorHAnsi" w:eastAsiaTheme="minorEastAsia" w:hAnsiTheme="minorHAnsi" w:cstheme="minorBidi"/>
            <w:sz w:val="22"/>
            <w:szCs w:val="22"/>
            <w:lang w:eastAsia="en-AU"/>
          </w:rPr>
          <w:tab/>
        </w:r>
        <w:r w:rsidR="004363BA" w:rsidRPr="000E2F37">
          <w:rPr>
            <w:rStyle w:val="Hyperlink"/>
            <w:rFonts w:eastAsia="Times"/>
          </w:rPr>
          <w:t>How to meet reporting requirements for unavailable data</w:t>
        </w:r>
        <w:r w:rsidR="004363BA">
          <w:rPr>
            <w:webHidden/>
          </w:rPr>
          <w:tab/>
        </w:r>
        <w:r w:rsidR="004363BA">
          <w:rPr>
            <w:webHidden/>
          </w:rPr>
          <w:fldChar w:fldCharType="begin"/>
        </w:r>
        <w:r w:rsidR="004363BA">
          <w:rPr>
            <w:webHidden/>
          </w:rPr>
          <w:instrText xml:space="preserve"> PAGEREF _Toc138239110 \h </w:instrText>
        </w:r>
        <w:r w:rsidR="004363BA">
          <w:rPr>
            <w:webHidden/>
          </w:rPr>
        </w:r>
        <w:r w:rsidR="004363BA">
          <w:rPr>
            <w:webHidden/>
          </w:rPr>
          <w:fldChar w:fldCharType="separate"/>
        </w:r>
        <w:r w:rsidR="00F9177B">
          <w:rPr>
            <w:webHidden/>
          </w:rPr>
          <w:t>10</w:t>
        </w:r>
        <w:r w:rsidR="004363BA">
          <w:rPr>
            <w:webHidden/>
          </w:rPr>
          <w:fldChar w:fldCharType="end"/>
        </w:r>
      </w:hyperlink>
    </w:p>
    <w:p w14:paraId="594A63E2" w14:textId="12D3CE83"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1" w:history="1">
        <w:r w:rsidR="004363BA" w:rsidRPr="000E2F37">
          <w:rPr>
            <w:rStyle w:val="Hyperlink"/>
            <w:rFonts w:eastAsia="Times"/>
          </w:rPr>
          <w:t>2.9.</w:t>
        </w:r>
        <w:r w:rsidR="004363BA">
          <w:rPr>
            <w:rFonts w:asciiTheme="minorHAnsi" w:eastAsiaTheme="minorEastAsia" w:hAnsiTheme="minorHAnsi" w:cstheme="minorBidi"/>
            <w:sz w:val="22"/>
            <w:szCs w:val="22"/>
            <w:lang w:eastAsia="en-AU"/>
          </w:rPr>
          <w:tab/>
        </w:r>
        <w:r w:rsidR="004363BA" w:rsidRPr="000E2F37">
          <w:rPr>
            <w:rStyle w:val="Hyperlink"/>
            <w:rFonts w:eastAsia="Times"/>
          </w:rPr>
          <w:t>Simple disclosure (Tier 4 entities)</w:t>
        </w:r>
        <w:r w:rsidR="004363BA">
          <w:rPr>
            <w:webHidden/>
          </w:rPr>
          <w:tab/>
        </w:r>
        <w:r w:rsidR="004363BA">
          <w:rPr>
            <w:webHidden/>
          </w:rPr>
          <w:fldChar w:fldCharType="begin"/>
        </w:r>
        <w:r w:rsidR="004363BA">
          <w:rPr>
            <w:webHidden/>
          </w:rPr>
          <w:instrText xml:space="preserve"> PAGEREF _Toc138239111 \h </w:instrText>
        </w:r>
        <w:r w:rsidR="004363BA">
          <w:rPr>
            <w:webHidden/>
          </w:rPr>
        </w:r>
        <w:r w:rsidR="004363BA">
          <w:rPr>
            <w:webHidden/>
          </w:rPr>
          <w:fldChar w:fldCharType="separate"/>
        </w:r>
        <w:r w:rsidR="00F9177B">
          <w:rPr>
            <w:webHidden/>
          </w:rPr>
          <w:t>11</w:t>
        </w:r>
        <w:r w:rsidR="004363BA">
          <w:rPr>
            <w:webHidden/>
          </w:rPr>
          <w:fldChar w:fldCharType="end"/>
        </w:r>
      </w:hyperlink>
    </w:p>
    <w:p w14:paraId="15E6C619" w14:textId="4B53BE01" w:rsidR="004363BA" w:rsidRDefault="00A84C51">
      <w:pPr>
        <w:pStyle w:val="TOC1"/>
        <w:tabs>
          <w:tab w:val="left" w:pos="567"/>
        </w:tabs>
        <w:rPr>
          <w:rFonts w:asciiTheme="minorHAnsi" w:eastAsiaTheme="minorEastAsia" w:hAnsiTheme="minorHAnsi" w:cstheme="minorBidi"/>
          <w:b w:val="0"/>
          <w:sz w:val="22"/>
          <w:szCs w:val="22"/>
          <w:lang w:eastAsia="en-AU"/>
        </w:rPr>
      </w:pPr>
      <w:hyperlink w:anchor="_Toc138239112" w:history="1">
        <w:r w:rsidR="004363BA" w:rsidRPr="000E2F37">
          <w:rPr>
            <w:rStyle w:val="Hyperlink"/>
          </w:rPr>
          <w:t>3.</w:t>
        </w:r>
        <w:r w:rsidR="004363BA">
          <w:rPr>
            <w:rFonts w:asciiTheme="minorHAnsi" w:eastAsiaTheme="minorEastAsia" w:hAnsiTheme="minorHAnsi" w:cstheme="minorBidi"/>
            <w:b w:val="0"/>
            <w:sz w:val="22"/>
            <w:szCs w:val="22"/>
            <w:lang w:eastAsia="en-AU"/>
          </w:rPr>
          <w:tab/>
        </w:r>
        <w:r w:rsidR="004363BA" w:rsidRPr="000E2F37">
          <w:rPr>
            <w:rStyle w:val="Hyperlink"/>
          </w:rPr>
          <w:t>Department of Health’s EDMS</w:t>
        </w:r>
        <w:r w:rsidR="004363BA">
          <w:rPr>
            <w:webHidden/>
          </w:rPr>
          <w:tab/>
        </w:r>
        <w:r w:rsidR="004363BA">
          <w:rPr>
            <w:webHidden/>
          </w:rPr>
          <w:fldChar w:fldCharType="begin"/>
        </w:r>
        <w:r w:rsidR="004363BA">
          <w:rPr>
            <w:webHidden/>
          </w:rPr>
          <w:instrText xml:space="preserve"> PAGEREF _Toc138239112 \h </w:instrText>
        </w:r>
        <w:r w:rsidR="004363BA">
          <w:rPr>
            <w:webHidden/>
          </w:rPr>
        </w:r>
        <w:r w:rsidR="004363BA">
          <w:rPr>
            <w:webHidden/>
          </w:rPr>
          <w:fldChar w:fldCharType="separate"/>
        </w:r>
        <w:r w:rsidR="00F9177B">
          <w:rPr>
            <w:webHidden/>
          </w:rPr>
          <w:t>12</w:t>
        </w:r>
        <w:r w:rsidR="004363BA">
          <w:rPr>
            <w:webHidden/>
          </w:rPr>
          <w:fldChar w:fldCharType="end"/>
        </w:r>
      </w:hyperlink>
    </w:p>
    <w:p w14:paraId="514A6BA5" w14:textId="602CD58E"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3" w:history="1">
        <w:r w:rsidR="004363BA" w:rsidRPr="000E2F37">
          <w:rPr>
            <w:rStyle w:val="Hyperlink"/>
            <w:rFonts w:eastAsia="Times"/>
          </w:rPr>
          <w:t>3.1.</w:t>
        </w:r>
        <w:r w:rsidR="004363BA">
          <w:rPr>
            <w:rFonts w:asciiTheme="minorHAnsi" w:eastAsiaTheme="minorEastAsia" w:hAnsiTheme="minorHAnsi" w:cstheme="minorBidi"/>
            <w:sz w:val="22"/>
            <w:szCs w:val="22"/>
            <w:lang w:eastAsia="en-AU"/>
          </w:rPr>
          <w:tab/>
        </w:r>
        <w:r w:rsidR="004363BA" w:rsidRPr="000E2F37">
          <w:rPr>
            <w:rStyle w:val="Hyperlink"/>
            <w:rFonts w:eastAsia="Times"/>
          </w:rPr>
          <w:t>About the EDMS</w:t>
        </w:r>
        <w:r w:rsidR="004363BA">
          <w:rPr>
            <w:webHidden/>
          </w:rPr>
          <w:tab/>
        </w:r>
        <w:r w:rsidR="004363BA">
          <w:rPr>
            <w:webHidden/>
          </w:rPr>
          <w:fldChar w:fldCharType="begin"/>
        </w:r>
        <w:r w:rsidR="004363BA">
          <w:rPr>
            <w:webHidden/>
          </w:rPr>
          <w:instrText xml:space="preserve"> PAGEREF _Toc138239113 \h </w:instrText>
        </w:r>
        <w:r w:rsidR="004363BA">
          <w:rPr>
            <w:webHidden/>
          </w:rPr>
        </w:r>
        <w:r w:rsidR="004363BA">
          <w:rPr>
            <w:webHidden/>
          </w:rPr>
          <w:fldChar w:fldCharType="separate"/>
        </w:r>
        <w:r w:rsidR="00F9177B">
          <w:rPr>
            <w:webHidden/>
          </w:rPr>
          <w:t>12</w:t>
        </w:r>
        <w:r w:rsidR="004363BA">
          <w:rPr>
            <w:webHidden/>
          </w:rPr>
          <w:fldChar w:fldCharType="end"/>
        </w:r>
      </w:hyperlink>
    </w:p>
    <w:p w14:paraId="2F108C7B" w14:textId="6584FDB6"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4" w:history="1">
        <w:r w:rsidR="004363BA" w:rsidRPr="000E2F37">
          <w:rPr>
            <w:rStyle w:val="Hyperlink"/>
            <w:rFonts w:eastAsia="Times"/>
          </w:rPr>
          <w:t>3.2.</w:t>
        </w:r>
        <w:r w:rsidR="004363BA">
          <w:rPr>
            <w:rFonts w:asciiTheme="minorHAnsi" w:eastAsiaTheme="minorEastAsia" w:hAnsiTheme="minorHAnsi" w:cstheme="minorBidi"/>
            <w:sz w:val="22"/>
            <w:szCs w:val="22"/>
            <w:lang w:eastAsia="en-AU"/>
          </w:rPr>
          <w:tab/>
        </w:r>
        <w:r w:rsidR="004363BA" w:rsidRPr="000E2F37">
          <w:rPr>
            <w:rStyle w:val="Hyperlink"/>
            <w:rFonts w:eastAsia="Times"/>
          </w:rPr>
          <w:t>Environmental indicators included in the EDMS</w:t>
        </w:r>
        <w:r w:rsidR="004363BA">
          <w:rPr>
            <w:webHidden/>
          </w:rPr>
          <w:tab/>
        </w:r>
        <w:r w:rsidR="004363BA">
          <w:rPr>
            <w:webHidden/>
          </w:rPr>
          <w:fldChar w:fldCharType="begin"/>
        </w:r>
        <w:r w:rsidR="004363BA">
          <w:rPr>
            <w:webHidden/>
          </w:rPr>
          <w:instrText xml:space="preserve"> PAGEREF _Toc138239114 \h </w:instrText>
        </w:r>
        <w:r w:rsidR="004363BA">
          <w:rPr>
            <w:webHidden/>
          </w:rPr>
        </w:r>
        <w:r w:rsidR="004363BA">
          <w:rPr>
            <w:webHidden/>
          </w:rPr>
          <w:fldChar w:fldCharType="separate"/>
        </w:r>
        <w:r w:rsidR="00F9177B">
          <w:rPr>
            <w:webHidden/>
          </w:rPr>
          <w:t>12</w:t>
        </w:r>
        <w:r w:rsidR="004363BA">
          <w:rPr>
            <w:webHidden/>
          </w:rPr>
          <w:fldChar w:fldCharType="end"/>
        </w:r>
      </w:hyperlink>
    </w:p>
    <w:p w14:paraId="28EA27F9" w14:textId="258D6272"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5" w:history="1">
        <w:r w:rsidR="004363BA" w:rsidRPr="000E2F37">
          <w:rPr>
            <w:rStyle w:val="Hyperlink"/>
            <w:rFonts w:eastAsia="Times"/>
          </w:rPr>
          <w:t>3.3.</w:t>
        </w:r>
        <w:r w:rsidR="004363BA">
          <w:rPr>
            <w:rFonts w:asciiTheme="minorHAnsi" w:eastAsiaTheme="minorEastAsia" w:hAnsiTheme="minorHAnsi" w:cstheme="minorBidi"/>
            <w:sz w:val="22"/>
            <w:szCs w:val="22"/>
            <w:lang w:eastAsia="en-AU"/>
          </w:rPr>
          <w:tab/>
        </w:r>
        <w:r w:rsidR="004363BA" w:rsidRPr="000E2F37">
          <w:rPr>
            <w:rStyle w:val="Hyperlink"/>
            <w:rFonts w:eastAsia="Times"/>
          </w:rPr>
          <w:t>Environmental indicators not included in the EDMS</w:t>
        </w:r>
        <w:r w:rsidR="004363BA">
          <w:rPr>
            <w:webHidden/>
          </w:rPr>
          <w:tab/>
        </w:r>
        <w:r w:rsidR="004363BA">
          <w:rPr>
            <w:webHidden/>
          </w:rPr>
          <w:fldChar w:fldCharType="begin"/>
        </w:r>
        <w:r w:rsidR="004363BA">
          <w:rPr>
            <w:webHidden/>
          </w:rPr>
          <w:instrText xml:space="preserve"> PAGEREF _Toc138239115 \h </w:instrText>
        </w:r>
        <w:r w:rsidR="004363BA">
          <w:rPr>
            <w:webHidden/>
          </w:rPr>
        </w:r>
        <w:r w:rsidR="004363BA">
          <w:rPr>
            <w:webHidden/>
          </w:rPr>
          <w:fldChar w:fldCharType="separate"/>
        </w:r>
        <w:r w:rsidR="00F9177B">
          <w:rPr>
            <w:webHidden/>
          </w:rPr>
          <w:t>14</w:t>
        </w:r>
        <w:r w:rsidR="004363BA">
          <w:rPr>
            <w:webHidden/>
          </w:rPr>
          <w:fldChar w:fldCharType="end"/>
        </w:r>
      </w:hyperlink>
    </w:p>
    <w:p w14:paraId="3A0C3467" w14:textId="4C3805DD"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6" w:history="1">
        <w:r w:rsidR="004363BA" w:rsidRPr="000E2F37">
          <w:rPr>
            <w:rStyle w:val="Hyperlink"/>
            <w:rFonts w:eastAsia="Times"/>
          </w:rPr>
          <w:t>3.4.</w:t>
        </w:r>
        <w:r w:rsidR="004363BA">
          <w:rPr>
            <w:rFonts w:asciiTheme="minorHAnsi" w:eastAsiaTheme="minorEastAsia" w:hAnsiTheme="minorHAnsi" w:cstheme="minorBidi"/>
            <w:sz w:val="22"/>
            <w:szCs w:val="22"/>
            <w:lang w:eastAsia="en-AU"/>
          </w:rPr>
          <w:tab/>
        </w:r>
        <w:r w:rsidR="004363BA" w:rsidRPr="000E2F37">
          <w:rPr>
            <w:rStyle w:val="Hyperlink"/>
            <w:rFonts w:eastAsia="Times"/>
          </w:rPr>
          <w:t>Data sources for the EDMS</w:t>
        </w:r>
        <w:r w:rsidR="004363BA">
          <w:rPr>
            <w:webHidden/>
          </w:rPr>
          <w:tab/>
        </w:r>
        <w:r w:rsidR="004363BA">
          <w:rPr>
            <w:webHidden/>
          </w:rPr>
          <w:fldChar w:fldCharType="begin"/>
        </w:r>
        <w:r w:rsidR="004363BA">
          <w:rPr>
            <w:webHidden/>
          </w:rPr>
          <w:instrText xml:space="preserve"> PAGEREF _Toc138239116 \h </w:instrText>
        </w:r>
        <w:r w:rsidR="004363BA">
          <w:rPr>
            <w:webHidden/>
          </w:rPr>
        </w:r>
        <w:r w:rsidR="004363BA">
          <w:rPr>
            <w:webHidden/>
          </w:rPr>
          <w:fldChar w:fldCharType="separate"/>
        </w:r>
        <w:r w:rsidR="00F9177B">
          <w:rPr>
            <w:webHidden/>
          </w:rPr>
          <w:t>15</w:t>
        </w:r>
        <w:r w:rsidR="004363BA">
          <w:rPr>
            <w:webHidden/>
          </w:rPr>
          <w:fldChar w:fldCharType="end"/>
        </w:r>
      </w:hyperlink>
    </w:p>
    <w:p w14:paraId="01432F0F" w14:textId="56CDB1CA"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7" w:history="1">
        <w:r w:rsidR="004363BA" w:rsidRPr="000E2F37">
          <w:rPr>
            <w:rStyle w:val="Hyperlink"/>
            <w:rFonts w:eastAsia="Times"/>
          </w:rPr>
          <w:t>3.5.</w:t>
        </w:r>
        <w:r w:rsidR="004363BA">
          <w:rPr>
            <w:rFonts w:asciiTheme="minorHAnsi" w:eastAsiaTheme="minorEastAsia" w:hAnsiTheme="minorHAnsi" w:cstheme="minorBidi"/>
            <w:sz w:val="22"/>
            <w:szCs w:val="22"/>
            <w:lang w:eastAsia="en-AU"/>
          </w:rPr>
          <w:tab/>
        </w:r>
        <w:r w:rsidR="004363BA" w:rsidRPr="000E2F37">
          <w:rPr>
            <w:rStyle w:val="Hyperlink"/>
            <w:rFonts w:eastAsia="Times"/>
          </w:rPr>
          <w:t>Data assurance</w:t>
        </w:r>
        <w:r w:rsidR="004363BA">
          <w:rPr>
            <w:webHidden/>
          </w:rPr>
          <w:tab/>
        </w:r>
        <w:r w:rsidR="004363BA">
          <w:rPr>
            <w:webHidden/>
          </w:rPr>
          <w:fldChar w:fldCharType="begin"/>
        </w:r>
        <w:r w:rsidR="004363BA">
          <w:rPr>
            <w:webHidden/>
          </w:rPr>
          <w:instrText xml:space="preserve"> PAGEREF _Toc138239117 \h </w:instrText>
        </w:r>
        <w:r w:rsidR="004363BA">
          <w:rPr>
            <w:webHidden/>
          </w:rPr>
        </w:r>
        <w:r w:rsidR="004363BA">
          <w:rPr>
            <w:webHidden/>
          </w:rPr>
          <w:fldChar w:fldCharType="separate"/>
        </w:r>
        <w:r w:rsidR="00F9177B">
          <w:rPr>
            <w:webHidden/>
          </w:rPr>
          <w:t>16</w:t>
        </w:r>
        <w:r w:rsidR="004363BA">
          <w:rPr>
            <w:webHidden/>
          </w:rPr>
          <w:fldChar w:fldCharType="end"/>
        </w:r>
      </w:hyperlink>
    </w:p>
    <w:p w14:paraId="09710B8C" w14:textId="06AE1394"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18" w:history="1">
        <w:r w:rsidR="004363BA" w:rsidRPr="000E2F37">
          <w:rPr>
            <w:rStyle w:val="Hyperlink"/>
            <w:rFonts w:eastAsia="Times"/>
          </w:rPr>
          <w:t>3.6.</w:t>
        </w:r>
        <w:r w:rsidR="004363BA">
          <w:rPr>
            <w:rFonts w:asciiTheme="minorHAnsi" w:eastAsiaTheme="minorEastAsia" w:hAnsiTheme="minorHAnsi" w:cstheme="minorBidi"/>
            <w:sz w:val="22"/>
            <w:szCs w:val="22"/>
            <w:lang w:eastAsia="en-AU"/>
          </w:rPr>
          <w:tab/>
        </w:r>
        <w:r w:rsidR="004363BA" w:rsidRPr="000E2F37">
          <w:rPr>
            <w:rStyle w:val="Hyperlink"/>
            <w:rFonts w:eastAsia="Times"/>
          </w:rPr>
          <w:t>Data management tips</w:t>
        </w:r>
        <w:r w:rsidR="004363BA">
          <w:rPr>
            <w:webHidden/>
          </w:rPr>
          <w:tab/>
        </w:r>
        <w:r w:rsidR="004363BA">
          <w:rPr>
            <w:webHidden/>
          </w:rPr>
          <w:fldChar w:fldCharType="begin"/>
        </w:r>
        <w:r w:rsidR="004363BA">
          <w:rPr>
            <w:webHidden/>
          </w:rPr>
          <w:instrText xml:space="preserve"> PAGEREF _Toc138239118 \h </w:instrText>
        </w:r>
        <w:r w:rsidR="004363BA">
          <w:rPr>
            <w:webHidden/>
          </w:rPr>
        </w:r>
        <w:r w:rsidR="004363BA">
          <w:rPr>
            <w:webHidden/>
          </w:rPr>
          <w:fldChar w:fldCharType="separate"/>
        </w:r>
        <w:r w:rsidR="00F9177B">
          <w:rPr>
            <w:webHidden/>
          </w:rPr>
          <w:t>16</w:t>
        </w:r>
        <w:r w:rsidR="004363BA">
          <w:rPr>
            <w:webHidden/>
          </w:rPr>
          <w:fldChar w:fldCharType="end"/>
        </w:r>
      </w:hyperlink>
    </w:p>
    <w:p w14:paraId="50D4BD12" w14:textId="2F92A518" w:rsidR="004363BA" w:rsidRDefault="00A84C51">
      <w:pPr>
        <w:pStyle w:val="TOC1"/>
        <w:tabs>
          <w:tab w:val="left" w:pos="567"/>
        </w:tabs>
        <w:rPr>
          <w:rFonts w:asciiTheme="minorHAnsi" w:eastAsiaTheme="minorEastAsia" w:hAnsiTheme="minorHAnsi" w:cstheme="minorBidi"/>
          <w:b w:val="0"/>
          <w:sz w:val="22"/>
          <w:szCs w:val="22"/>
          <w:lang w:eastAsia="en-AU"/>
        </w:rPr>
      </w:pPr>
      <w:hyperlink w:anchor="_Toc138239119" w:history="1">
        <w:r w:rsidR="004363BA" w:rsidRPr="000E2F37">
          <w:rPr>
            <w:rStyle w:val="Hyperlink"/>
          </w:rPr>
          <w:t>4.</w:t>
        </w:r>
        <w:r w:rsidR="004363BA">
          <w:rPr>
            <w:rFonts w:asciiTheme="minorHAnsi" w:eastAsiaTheme="minorEastAsia" w:hAnsiTheme="minorHAnsi" w:cstheme="minorBidi"/>
            <w:b w:val="0"/>
            <w:sz w:val="22"/>
            <w:szCs w:val="22"/>
            <w:lang w:eastAsia="en-AU"/>
          </w:rPr>
          <w:tab/>
        </w:r>
        <w:r w:rsidR="004363BA" w:rsidRPr="000E2F37">
          <w:rPr>
            <w:rStyle w:val="Hyperlink"/>
          </w:rPr>
          <w:t>Detailed guidance on indicators</w:t>
        </w:r>
        <w:r w:rsidR="004363BA">
          <w:rPr>
            <w:webHidden/>
          </w:rPr>
          <w:tab/>
        </w:r>
        <w:r w:rsidR="004363BA">
          <w:rPr>
            <w:webHidden/>
          </w:rPr>
          <w:fldChar w:fldCharType="begin"/>
        </w:r>
        <w:r w:rsidR="004363BA">
          <w:rPr>
            <w:webHidden/>
          </w:rPr>
          <w:instrText xml:space="preserve"> PAGEREF _Toc138239119 \h </w:instrText>
        </w:r>
        <w:r w:rsidR="004363BA">
          <w:rPr>
            <w:webHidden/>
          </w:rPr>
        </w:r>
        <w:r w:rsidR="004363BA">
          <w:rPr>
            <w:webHidden/>
          </w:rPr>
          <w:fldChar w:fldCharType="separate"/>
        </w:r>
        <w:r w:rsidR="00F9177B">
          <w:rPr>
            <w:webHidden/>
          </w:rPr>
          <w:t>18</w:t>
        </w:r>
        <w:r w:rsidR="004363BA">
          <w:rPr>
            <w:webHidden/>
          </w:rPr>
          <w:fldChar w:fldCharType="end"/>
        </w:r>
      </w:hyperlink>
    </w:p>
    <w:p w14:paraId="0C663E43" w14:textId="564F1DC3"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0" w:history="1">
        <w:r w:rsidR="004363BA" w:rsidRPr="000E2F37">
          <w:rPr>
            <w:rStyle w:val="Hyperlink"/>
            <w:rFonts w:eastAsia="Times"/>
          </w:rPr>
          <w:t>4.1.</w:t>
        </w:r>
        <w:r w:rsidR="004363BA">
          <w:rPr>
            <w:rFonts w:asciiTheme="minorHAnsi" w:eastAsiaTheme="minorEastAsia" w:hAnsiTheme="minorHAnsi" w:cstheme="minorBidi"/>
            <w:sz w:val="22"/>
            <w:szCs w:val="22"/>
            <w:lang w:eastAsia="en-AU"/>
          </w:rPr>
          <w:tab/>
        </w:r>
        <w:r w:rsidR="004363BA" w:rsidRPr="000E2F37">
          <w:rPr>
            <w:rStyle w:val="Hyperlink"/>
            <w:rFonts w:eastAsia="Times"/>
          </w:rPr>
          <w:t>Electricity production and consumption</w:t>
        </w:r>
        <w:r w:rsidR="004363BA">
          <w:rPr>
            <w:webHidden/>
          </w:rPr>
          <w:tab/>
        </w:r>
        <w:r w:rsidR="004363BA">
          <w:rPr>
            <w:webHidden/>
          </w:rPr>
          <w:fldChar w:fldCharType="begin"/>
        </w:r>
        <w:r w:rsidR="004363BA">
          <w:rPr>
            <w:webHidden/>
          </w:rPr>
          <w:instrText xml:space="preserve"> PAGEREF _Toc138239120 \h </w:instrText>
        </w:r>
        <w:r w:rsidR="004363BA">
          <w:rPr>
            <w:webHidden/>
          </w:rPr>
        </w:r>
        <w:r w:rsidR="004363BA">
          <w:rPr>
            <w:webHidden/>
          </w:rPr>
          <w:fldChar w:fldCharType="separate"/>
        </w:r>
        <w:r w:rsidR="00F9177B">
          <w:rPr>
            <w:webHidden/>
          </w:rPr>
          <w:t>18</w:t>
        </w:r>
        <w:r w:rsidR="004363BA">
          <w:rPr>
            <w:webHidden/>
          </w:rPr>
          <w:fldChar w:fldCharType="end"/>
        </w:r>
      </w:hyperlink>
    </w:p>
    <w:p w14:paraId="496F3C8C" w14:textId="74AD3E7D"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1" w:history="1">
        <w:r w:rsidR="004363BA" w:rsidRPr="000E2F37">
          <w:rPr>
            <w:rStyle w:val="Hyperlink"/>
            <w:rFonts w:eastAsia="Times"/>
          </w:rPr>
          <w:t>4.2.</w:t>
        </w:r>
        <w:r w:rsidR="004363BA">
          <w:rPr>
            <w:rFonts w:asciiTheme="minorHAnsi" w:eastAsiaTheme="minorEastAsia" w:hAnsiTheme="minorHAnsi" w:cstheme="minorBidi"/>
            <w:sz w:val="22"/>
            <w:szCs w:val="22"/>
            <w:lang w:eastAsia="en-AU"/>
          </w:rPr>
          <w:tab/>
        </w:r>
        <w:r w:rsidR="004363BA" w:rsidRPr="000E2F37">
          <w:rPr>
            <w:rStyle w:val="Hyperlink"/>
            <w:rFonts w:eastAsia="Times"/>
          </w:rPr>
          <w:t>Stationary fuel use</w:t>
        </w:r>
        <w:r w:rsidR="004363BA">
          <w:rPr>
            <w:webHidden/>
          </w:rPr>
          <w:tab/>
        </w:r>
        <w:r w:rsidR="004363BA">
          <w:rPr>
            <w:webHidden/>
          </w:rPr>
          <w:fldChar w:fldCharType="begin"/>
        </w:r>
        <w:r w:rsidR="004363BA">
          <w:rPr>
            <w:webHidden/>
          </w:rPr>
          <w:instrText xml:space="preserve"> PAGEREF _Toc138239121 \h </w:instrText>
        </w:r>
        <w:r w:rsidR="004363BA">
          <w:rPr>
            <w:webHidden/>
          </w:rPr>
        </w:r>
        <w:r w:rsidR="004363BA">
          <w:rPr>
            <w:webHidden/>
          </w:rPr>
          <w:fldChar w:fldCharType="separate"/>
        </w:r>
        <w:r w:rsidR="00F9177B">
          <w:rPr>
            <w:webHidden/>
          </w:rPr>
          <w:t>20</w:t>
        </w:r>
        <w:r w:rsidR="004363BA">
          <w:rPr>
            <w:webHidden/>
          </w:rPr>
          <w:fldChar w:fldCharType="end"/>
        </w:r>
      </w:hyperlink>
    </w:p>
    <w:p w14:paraId="4B72A724" w14:textId="0F94DD18"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2" w:history="1">
        <w:r w:rsidR="004363BA" w:rsidRPr="000E2F37">
          <w:rPr>
            <w:rStyle w:val="Hyperlink"/>
            <w:rFonts w:eastAsia="Times"/>
          </w:rPr>
          <w:t>4.3.</w:t>
        </w:r>
        <w:r w:rsidR="004363BA">
          <w:rPr>
            <w:rFonts w:asciiTheme="minorHAnsi" w:eastAsiaTheme="minorEastAsia" w:hAnsiTheme="minorHAnsi" w:cstheme="minorBidi"/>
            <w:sz w:val="22"/>
            <w:szCs w:val="22"/>
            <w:lang w:eastAsia="en-AU"/>
          </w:rPr>
          <w:tab/>
        </w:r>
        <w:r w:rsidR="004363BA" w:rsidRPr="000E2F37">
          <w:rPr>
            <w:rStyle w:val="Hyperlink"/>
            <w:rFonts w:eastAsia="Times"/>
          </w:rPr>
          <w:t>Transportation</w:t>
        </w:r>
        <w:r w:rsidR="004363BA">
          <w:rPr>
            <w:webHidden/>
          </w:rPr>
          <w:tab/>
        </w:r>
        <w:r w:rsidR="004363BA">
          <w:rPr>
            <w:webHidden/>
          </w:rPr>
          <w:fldChar w:fldCharType="begin"/>
        </w:r>
        <w:r w:rsidR="004363BA">
          <w:rPr>
            <w:webHidden/>
          </w:rPr>
          <w:instrText xml:space="preserve"> PAGEREF _Toc138239122 \h </w:instrText>
        </w:r>
        <w:r w:rsidR="004363BA">
          <w:rPr>
            <w:webHidden/>
          </w:rPr>
        </w:r>
        <w:r w:rsidR="004363BA">
          <w:rPr>
            <w:webHidden/>
          </w:rPr>
          <w:fldChar w:fldCharType="separate"/>
        </w:r>
        <w:r w:rsidR="00F9177B">
          <w:rPr>
            <w:webHidden/>
          </w:rPr>
          <w:t>21</w:t>
        </w:r>
        <w:r w:rsidR="004363BA">
          <w:rPr>
            <w:webHidden/>
          </w:rPr>
          <w:fldChar w:fldCharType="end"/>
        </w:r>
      </w:hyperlink>
    </w:p>
    <w:p w14:paraId="0882F995" w14:textId="0D2750A4"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3" w:history="1">
        <w:r w:rsidR="004363BA" w:rsidRPr="000E2F37">
          <w:rPr>
            <w:rStyle w:val="Hyperlink"/>
            <w:rFonts w:eastAsia="Times"/>
          </w:rPr>
          <w:t>4.4.</w:t>
        </w:r>
        <w:r w:rsidR="004363BA">
          <w:rPr>
            <w:rFonts w:asciiTheme="minorHAnsi" w:eastAsiaTheme="minorEastAsia" w:hAnsiTheme="minorHAnsi" w:cstheme="minorBidi"/>
            <w:sz w:val="22"/>
            <w:szCs w:val="22"/>
            <w:lang w:eastAsia="en-AU"/>
          </w:rPr>
          <w:tab/>
        </w:r>
        <w:r w:rsidR="004363BA" w:rsidRPr="000E2F37">
          <w:rPr>
            <w:rStyle w:val="Hyperlink"/>
            <w:rFonts w:eastAsia="Times"/>
          </w:rPr>
          <w:t>Total energy</w:t>
        </w:r>
        <w:r w:rsidR="004363BA">
          <w:rPr>
            <w:webHidden/>
          </w:rPr>
          <w:tab/>
        </w:r>
        <w:r w:rsidR="004363BA">
          <w:rPr>
            <w:webHidden/>
          </w:rPr>
          <w:fldChar w:fldCharType="begin"/>
        </w:r>
        <w:r w:rsidR="004363BA">
          <w:rPr>
            <w:webHidden/>
          </w:rPr>
          <w:instrText xml:space="preserve"> PAGEREF _Toc138239123 \h </w:instrText>
        </w:r>
        <w:r w:rsidR="004363BA">
          <w:rPr>
            <w:webHidden/>
          </w:rPr>
        </w:r>
        <w:r w:rsidR="004363BA">
          <w:rPr>
            <w:webHidden/>
          </w:rPr>
          <w:fldChar w:fldCharType="separate"/>
        </w:r>
        <w:r w:rsidR="00F9177B">
          <w:rPr>
            <w:webHidden/>
          </w:rPr>
          <w:t>23</w:t>
        </w:r>
        <w:r w:rsidR="004363BA">
          <w:rPr>
            <w:webHidden/>
          </w:rPr>
          <w:fldChar w:fldCharType="end"/>
        </w:r>
      </w:hyperlink>
    </w:p>
    <w:p w14:paraId="23AD7304" w14:textId="4FD5E350"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4" w:history="1">
        <w:r w:rsidR="004363BA" w:rsidRPr="000E2F37">
          <w:rPr>
            <w:rStyle w:val="Hyperlink"/>
          </w:rPr>
          <w:t>4.5.</w:t>
        </w:r>
        <w:r w:rsidR="004363BA">
          <w:rPr>
            <w:rFonts w:asciiTheme="minorHAnsi" w:eastAsiaTheme="minorEastAsia" w:hAnsiTheme="minorHAnsi" w:cstheme="minorBidi"/>
            <w:sz w:val="22"/>
            <w:szCs w:val="22"/>
            <w:lang w:eastAsia="en-AU"/>
          </w:rPr>
          <w:tab/>
        </w:r>
        <w:r w:rsidR="004363BA" w:rsidRPr="000E2F37">
          <w:rPr>
            <w:rStyle w:val="Hyperlink"/>
          </w:rPr>
          <w:t>Sustainable buildings and infrastructure</w:t>
        </w:r>
        <w:r w:rsidR="004363BA">
          <w:rPr>
            <w:webHidden/>
          </w:rPr>
          <w:tab/>
        </w:r>
        <w:r w:rsidR="004363BA">
          <w:rPr>
            <w:webHidden/>
          </w:rPr>
          <w:fldChar w:fldCharType="begin"/>
        </w:r>
        <w:r w:rsidR="004363BA">
          <w:rPr>
            <w:webHidden/>
          </w:rPr>
          <w:instrText xml:space="preserve"> PAGEREF _Toc138239124 \h </w:instrText>
        </w:r>
        <w:r w:rsidR="004363BA">
          <w:rPr>
            <w:webHidden/>
          </w:rPr>
        </w:r>
        <w:r w:rsidR="004363BA">
          <w:rPr>
            <w:webHidden/>
          </w:rPr>
          <w:fldChar w:fldCharType="separate"/>
        </w:r>
        <w:r w:rsidR="00F9177B">
          <w:rPr>
            <w:webHidden/>
          </w:rPr>
          <w:t>24</w:t>
        </w:r>
        <w:r w:rsidR="004363BA">
          <w:rPr>
            <w:webHidden/>
          </w:rPr>
          <w:fldChar w:fldCharType="end"/>
        </w:r>
      </w:hyperlink>
    </w:p>
    <w:p w14:paraId="50222889" w14:textId="1FB4F577"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5" w:history="1">
        <w:r w:rsidR="004363BA" w:rsidRPr="000E2F37">
          <w:rPr>
            <w:rStyle w:val="Hyperlink"/>
            <w:rFonts w:eastAsia="Times"/>
          </w:rPr>
          <w:t>4.6.</w:t>
        </w:r>
        <w:r w:rsidR="004363BA">
          <w:rPr>
            <w:rFonts w:asciiTheme="minorHAnsi" w:eastAsiaTheme="minorEastAsia" w:hAnsiTheme="minorHAnsi" w:cstheme="minorBidi"/>
            <w:sz w:val="22"/>
            <w:szCs w:val="22"/>
            <w:lang w:eastAsia="en-AU"/>
          </w:rPr>
          <w:tab/>
        </w:r>
        <w:r w:rsidR="004363BA" w:rsidRPr="000E2F37">
          <w:rPr>
            <w:rStyle w:val="Hyperlink"/>
            <w:rFonts w:eastAsia="Times"/>
          </w:rPr>
          <w:t>Water consumption</w:t>
        </w:r>
        <w:r w:rsidR="004363BA">
          <w:rPr>
            <w:webHidden/>
          </w:rPr>
          <w:tab/>
        </w:r>
        <w:r w:rsidR="004363BA">
          <w:rPr>
            <w:webHidden/>
          </w:rPr>
          <w:fldChar w:fldCharType="begin"/>
        </w:r>
        <w:r w:rsidR="004363BA">
          <w:rPr>
            <w:webHidden/>
          </w:rPr>
          <w:instrText xml:space="preserve"> PAGEREF _Toc138239125 \h </w:instrText>
        </w:r>
        <w:r w:rsidR="004363BA">
          <w:rPr>
            <w:webHidden/>
          </w:rPr>
        </w:r>
        <w:r w:rsidR="004363BA">
          <w:rPr>
            <w:webHidden/>
          </w:rPr>
          <w:fldChar w:fldCharType="separate"/>
        </w:r>
        <w:r w:rsidR="00F9177B">
          <w:rPr>
            <w:webHidden/>
          </w:rPr>
          <w:t>27</w:t>
        </w:r>
        <w:r w:rsidR="004363BA">
          <w:rPr>
            <w:webHidden/>
          </w:rPr>
          <w:fldChar w:fldCharType="end"/>
        </w:r>
      </w:hyperlink>
    </w:p>
    <w:p w14:paraId="4979DF91" w14:textId="4224781C"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6" w:history="1">
        <w:r w:rsidR="004363BA" w:rsidRPr="000E2F37">
          <w:rPr>
            <w:rStyle w:val="Hyperlink"/>
            <w:rFonts w:eastAsia="Times"/>
          </w:rPr>
          <w:t>4.7.</w:t>
        </w:r>
        <w:r w:rsidR="004363BA">
          <w:rPr>
            <w:rFonts w:asciiTheme="minorHAnsi" w:eastAsiaTheme="minorEastAsia" w:hAnsiTheme="minorHAnsi" w:cstheme="minorBidi"/>
            <w:sz w:val="22"/>
            <w:szCs w:val="22"/>
            <w:lang w:eastAsia="en-AU"/>
          </w:rPr>
          <w:tab/>
        </w:r>
        <w:r w:rsidR="004363BA" w:rsidRPr="000E2F37">
          <w:rPr>
            <w:rStyle w:val="Hyperlink"/>
            <w:rFonts w:eastAsia="Times"/>
          </w:rPr>
          <w:t>Waste and recycling</w:t>
        </w:r>
        <w:r w:rsidR="004363BA">
          <w:rPr>
            <w:webHidden/>
          </w:rPr>
          <w:tab/>
        </w:r>
        <w:r w:rsidR="004363BA">
          <w:rPr>
            <w:webHidden/>
          </w:rPr>
          <w:fldChar w:fldCharType="begin"/>
        </w:r>
        <w:r w:rsidR="004363BA">
          <w:rPr>
            <w:webHidden/>
          </w:rPr>
          <w:instrText xml:space="preserve"> PAGEREF _Toc138239126 \h </w:instrText>
        </w:r>
        <w:r w:rsidR="004363BA">
          <w:rPr>
            <w:webHidden/>
          </w:rPr>
        </w:r>
        <w:r w:rsidR="004363BA">
          <w:rPr>
            <w:webHidden/>
          </w:rPr>
          <w:fldChar w:fldCharType="separate"/>
        </w:r>
        <w:r w:rsidR="00F9177B">
          <w:rPr>
            <w:webHidden/>
          </w:rPr>
          <w:t>28</w:t>
        </w:r>
        <w:r w:rsidR="004363BA">
          <w:rPr>
            <w:webHidden/>
          </w:rPr>
          <w:fldChar w:fldCharType="end"/>
        </w:r>
      </w:hyperlink>
    </w:p>
    <w:p w14:paraId="6382A8AC" w14:textId="53DCBC3F"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7" w:history="1">
        <w:r w:rsidR="004363BA" w:rsidRPr="000E2F37">
          <w:rPr>
            <w:rStyle w:val="Hyperlink"/>
          </w:rPr>
          <w:t>4.8.</w:t>
        </w:r>
        <w:r w:rsidR="004363BA">
          <w:rPr>
            <w:rFonts w:asciiTheme="minorHAnsi" w:eastAsiaTheme="minorEastAsia" w:hAnsiTheme="minorHAnsi" w:cstheme="minorBidi"/>
            <w:sz w:val="22"/>
            <w:szCs w:val="22"/>
            <w:lang w:eastAsia="en-AU"/>
          </w:rPr>
          <w:tab/>
        </w:r>
        <w:r w:rsidR="004363BA" w:rsidRPr="000E2F37">
          <w:rPr>
            <w:rStyle w:val="Hyperlink"/>
          </w:rPr>
          <w:t>Greenhouse gas emissions</w:t>
        </w:r>
        <w:r w:rsidR="004363BA">
          <w:rPr>
            <w:webHidden/>
          </w:rPr>
          <w:tab/>
        </w:r>
        <w:r w:rsidR="004363BA">
          <w:rPr>
            <w:webHidden/>
          </w:rPr>
          <w:fldChar w:fldCharType="begin"/>
        </w:r>
        <w:r w:rsidR="004363BA">
          <w:rPr>
            <w:webHidden/>
          </w:rPr>
          <w:instrText xml:space="preserve"> PAGEREF _Toc138239127 \h </w:instrText>
        </w:r>
        <w:r w:rsidR="004363BA">
          <w:rPr>
            <w:webHidden/>
          </w:rPr>
        </w:r>
        <w:r w:rsidR="004363BA">
          <w:rPr>
            <w:webHidden/>
          </w:rPr>
          <w:fldChar w:fldCharType="separate"/>
        </w:r>
        <w:r w:rsidR="00F9177B">
          <w:rPr>
            <w:webHidden/>
          </w:rPr>
          <w:t>30</w:t>
        </w:r>
        <w:r w:rsidR="004363BA">
          <w:rPr>
            <w:webHidden/>
          </w:rPr>
          <w:fldChar w:fldCharType="end"/>
        </w:r>
      </w:hyperlink>
    </w:p>
    <w:p w14:paraId="268DB703" w14:textId="723913F3" w:rsidR="004363BA" w:rsidRDefault="00A84C51">
      <w:pPr>
        <w:pStyle w:val="TOC1"/>
        <w:tabs>
          <w:tab w:val="left" w:pos="567"/>
        </w:tabs>
        <w:rPr>
          <w:rFonts w:asciiTheme="minorHAnsi" w:eastAsiaTheme="minorEastAsia" w:hAnsiTheme="minorHAnsi" w:cstheme="minorBidi"/>
          <w:b w:val="0"/>
          <w:sz w:val="22"/>
          <w:szCs w:val="22"/>
          <w:lang w:eastAsia="en-AU"/>
        </w:rPr>
      </w:pPr>
      <w:hyperlink w:anchor="_Toc138239128" w:history="1">
        <w:r w:rsidR="004363BA" w:rsidRPr="000E2F37">
          <w:rPr>
            <w:rStyle w:val="Hyperlink"/>
          </w:rPr>
          <w:t>5.</w:t>
        </w:r>
        <w:r w:rsidR="004363BA">
          <w:rPr>
            <w:rFonts w:asciiTheme="minorHAnsi" w:eastAsiaTheme="minorEastAsia" w:hAnsiTheme="minorHAnsi" w:cstheme="minorBidi"/>
            <w:b w:val="0"/>
            <w:sz w:val="22"/>
            <w:szCs w:val="22"/>
            <w:lang w:eastAsia="en-AU"/>
          </w:rPr>
          <w:tab/>
        </w:r>
        <w:r w:rsidR="004363BA" w:rsidRPr="000E2F37">
          <w:rPr>
            <w:rStyle w:val="Hyperlink"/>
          </w:rPr>
          <w:t>Support</w:t>
        </w:r>
        <w:r w:rsidR="004363BA">
          <w:rPr>
            <w:webHidden/>
          </w:rPr>
          <w:tab/>
        </w:r>
        <w:r w:rsidR="004363BA">
          <w:rPr>
            <w:webHidden/>
          </w:rPr>
          <w:fldChar w:fldCharType="begin"/>
        </w:r>
        <w:r w:rsidR="004363BA">
          <w:rPr>
            <w:webHidden/>
          </w:rPr>
          <w:instrText xml:space="preserve"> PAGEREF _Toc138239128 \h </w:instrText>
        </w:r>
        <w:r w:rsidR="004363BA">
          <w:rPr>
            <w:webHidden/>
          </w:rPr>
        </w:r>
        <w:r w:rsidR="004363BA">
          <w:rPr>
            <w:webHidden/>
          </w:rPr>
          <w:fldChar w:fldCharType="separate"/>
        </w:r>
        <w:r w:rsidR="00F9177B">
          <w:rPr>
            <w:webHidden/>
          </w:rPr>
          <w:t>32</w:t>
        </w:r>
        <w:r w:rsidR="004363BA">
          <w:rPr>
            <w:webHidden/>
          </w:rPr>
          <w:fldChar w:fldCharType="end"/>
        </w:r>
      </w:hyperlink>
    </w:p>
    <w:p w14:paraId="25B2B07A" w14:textId="6D82B94B"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29" w:history="1">
        <w:r w:rsidR="004363BA" w:rsidRPr="000E2F37">
          <w:rPr>
            <w:rStyle w:val="Hyperlink"/>
          </w:rPr>
          <w:t>5.1.</w:t>
        </w:r>
        <w:r w:rsidR="004363BA">
          <w:rPr>
            <w:rFonts w:asciiTheme="minorHAnsi" w:eastAsiaTheme="minorEastAsia" w:hAnsiTheme="minorHAnsi" w:cstheme="minorBidi"/>
            <w:sz w:val="22"/>
            <w:szCs w:val="22"/>
            <w:lang w:eastAsia="en-AU"/>
          </w:rPr>
          <w:tab/>
        </w:r>
        <w:r w:rsidR="004363BA" w:rsidRPr="000E2F37">
          <w:rPr>
            <w:rStyle w:val="Hyperlink"/>
          </w:rPr>
          <w:t>Useful resources</w:t>
        </w:r>
        <w:r w:rsidR="004363BA">
          <w:rPr>
            <w:webHidden/>
          </w:rPr>
          <w:tab/>
        </w:r>
        <w:r w:rsidR="004363BA">
          <w:rPr>
            <w:webHidden/>
          </w:rPr>
          <w:fldChar w:fldCharType="begin"/>
        </w:r>
        <w:r w:rsidR="004363BA">
          <w:rPr>
            <w:webHidden/>
          </w:rPr>
          <w:instrText xml:space="preserve"> PAGEREF _Toc138239129 \h </w:instrText>
        </w:r>
        <w:r w:rsidR="004363BA">
          <w:rPr>
            <w:webHidden/>
          </w:rPr>
        </w:r>
        <w:r w:rsidR="004363BA">
          <w:rPr>
            <w:webHidden/>
          </w:rPr>
          <w:fldChar w:fldCharType="separate"/>
        </w:r>
        <w:r w:rsidR="00F9177B">
          <w:rPr>
            <w:webHidden/>
          </w:rPr>
          <w:t>32</w:t>
        </w:r>
        <w:r w:rsidR="004363BA">
          <w:rPr>
            <w:webHidden/>
          </w:rPr>
          <w:fldChar w:fldCharType="end"/>
        </w:r>
      </w:hyperlink>
    </w:p>
    <w:p w14:paraId="53290F9C" w14:textId="66A78F8D" w:rsidR="004363BA" w:rsidRDefault="00A84C51">
      <w:pPr>
        <w:pStyle w:val="TOC2"/>
        <w:tabs>
          <w:tab w:val="left" w:pos="851"/>
        </w:tabs>
        <w:rPr>
          <w:rFonts w:asciiTheme="minorHAnsi" w:eastAsiaTheme="minorEastAsia" w:hAnsiTheme="minorHAnsi" w:cstheme="minorBidi"/>
          <w:sz w:val="22"/>
          <w:szCs w:val="22"/>
          <w:lang w:eastAsia="en-AU"/>
        </w:rPr>
      </w:pPr>
      <w:hyperlink w:anchor="_Toc138239130" w:history="1">
        <w:r w:rsidR="004363BA" w:rsidRPr="000E2F37">
          <w:rPr>
            <w:rStyle w:val="Hyperlink"/>
          </w:rPr>
          <w:t>5.2.</w:t>
        </w:r>
        <w:r w:rsidR="004363BA">
          <w:rPr>
            <w:rFonts w:asciiTheme="minorHAnsi" w:eastAsiaTheme="minorEastAsia" w:hAnsiTheme="minorHAnsi" w:cstheme="minorBidi"/>
            <w:sz w:val="22"/>
            <w:szCs w:val="22"/>
            <w:lang w:eastAsia="en-AU"/>
          </w:rPr>
          <w:tab/>
        </w:r>
        <w:r w:rsidR="004363BA" w:rsidRPr="000E2F37">
          <w:rPr>
            <w:rStyle w:val="Hyperlink"/>
          </w:rPr>
          <w:t>Contacts</w:t>
        </w:r>
        <w:r w:rsidR="004363BA">
          <w:rPr>
            <w:webHidden/>
          </w:rPr>
          <w:tab/>
        </w:r>
        <w:r w:rsidR="004363BA">
          <w:rPr>
            <w:webHidden/>
          </w:rPr>
          <w:fldChar w:fldCharType="begin"/>
        </w:r>
        <w:r w:rsidR="004363BA">
          <w:rPr>
            <w:webHidden/>
          </w:rPr>
          <w:instrText xml:space="preserve"> PAGEREF _Toc138239130 \h </w:instrText>
        </w:r>
        <w:r w:rsidR="004363BA">
          <w:rPr>
            <w:webHidden/>
          </w:rPr>
        </w:r>
        <w:r w:rsidR="004363BA">
          <w:rPr>
            <w:webHidden/>
          </w:rPr>
          <w:fldChar w:fldCharType="separate"/>
        </w:r>
        <w:r w:rsidR="00F9177B">
          <w:rPr>
            <w:webHidden/>
          </w:rPr>
          <w:t>33</w:t>
        </w:r>
        <w:r w:rsidR="004363BA">
          <w:rPr>
            <w:webHidden/>
          </w:rPr>
          <w:fldChar w:fldCharType="end"/>
        </w:r>
      </w:hyperlink>
    </w:p>
    <w:p w14:paraId="6948C4F6" w14:textId="33D03013" w:rsidR="004363BA" w:rsidRDefault="00A84C51">
      <w:pPr>
        <w:pStyle w:val="TOC1"/>
        <w:rPr>
          <w:rFonts w:asciiTheme="minorHAnsi" w:eastAsiaTheme="minorEastAsia" w:hAnsiTheme="minorHAnsi" w:cstheme="minorBidi"/>
          <w:b w:val="0"/>
          <w:sz w:val="22"/>
          <w:szCs w:val="22"/>
          <w:lang w:eastAsia="en-AU"/>
        </w:rPr>
      </w:pPr>
      <w:hyperlink w:anchor="_Toc138239131" w:history="1">
        <w:r w:rsidR="004363BA" w:rsidRPr="000E2F37">
          <w:rPr>
            <w:rStyle w:val="Hyperlink"/>
          </w:rPr>
          <w:t>Appendix A: Scope of emissions</w:t>
        </w:r>
        <w:r w:rsidR="004363BA">
          <w:rPr>
            <w:webHidden/>
          </w:rPr>
          <w:tab/>
        </w:r>
        <w:r w:rsidR="004363BA">
          <w:rPr>
            <w:webHidden/>
          </w:rPr>
          <w:fldChar w:fldCharType="begin"/>
        </w:r>
        <w:r w:rsidR="004363BA">
          <w:rPr>
            <w:webHidden/>
          </w:rPr>
          <w:instrText xml:space="preserve"> PAGEREF _Toc138239131 \h </w:instrText>
        </w:r>
        <w:r w:rsidR="004363BA">
          <w:rPr>
            <w:webHidden/>
          </w:rPr>
        </w:r>
        <w:r w:rsidR="004363BA">
          <w:rPr>
            <w:webHidden/>
          </w:rPr>
          <w:fldChar w:fldCharType="separate"/>
        </w:r>
        <w:r w:rsidR="00F9177B">
          <w:rPr>
            <w:webHidden/>
          </w:rPr>
          <w:t>34</w:t>
        </w:r>
        <w:r w:rsidR="004363BA">
          <w:rPr>
            <w:webHidden/>
          </w:rPr>
          <w:fldChar w:fldCharType="end"/>
        </w:r>
      </w:hyperlink>
    </w:p>
    <w:p w14:paraId="27B903C9" w14:textId="6A6C3022" w:rsidR="004363BA" w:rsidRDefault="00A84C51">
      <w:pPr>
        <w:pStyle w:val="TOC1"/>
        <w:rPr>
          <w:rFonts w:asciiTheme="minorHAnsi" w:eastAsiaTheme="minorEastAsia" w:hAnsiTheme="minorHAnsi" w:cstheme="minorBidi"/>
          <w:b w:val="0"/>
          <w:sz w:val="22"/>
          <w:szCs w:val="22"/>
          <w:lang w:eastAsia="en-AU"/>
        </w:rPr>
      </w:pPr>
      <w:hyperlink w:anchor="_Toc138239132" w:history="1">
        <w:r w:rsidR="004363BA" w:rsidRPr="000E2F37">
          <w:rPr>
            <w:rStyle w:val="Hyperlink"/>
          </w:rPr>
          <w:t>Appendix B: Reporting tiers for Victorian public hospitals, health services and Department of Health portfolio entities</w:t>
        </w:r>
        <w:r w:rsidR="004363BA">
          <w:rPr>
            <w:webHidden/>
          </w:rPr>
          <w:tab/>
        </w:r>
        <w:r w:rsidR="004363BA">
          <w:rPr>
            <w:webHidden/>
          </w:rPr>
          <w:fldChar w:fldCharType="begin"/>
        </w:r>
        <w:r w:rsidR="004363BA">
          <w:rPr>
            <w:webHidden/>
          </w:rPr>
          <w:instrText xml:space="preserve"> PAGEREF _Toc138239132 \h </w:instrText>
        </w:r>
        <w:r w:rsidR="004363BA">
          <w:rPr>
            <w:webHidden/>
          </w:rPr>
        </w:r>
        <w:r w:rsidR="004363BA">
          <w:rPr>
            <w:webHidden/>
          </w:rPr>
          <w:fldChar w:fldCharType="separate"/>
        </w:r>
        <w:r w:rsidR="00F9177B">
          <w:rPr>
            <w:webHidden/>
          </w:rPr>
          <w:t>35</w:t>
        </w:r>
        <w:r w:rsidR="004363BA">
          <w:rPr>
            <w:webHidden/>
          </w:rPr>
          <w:fldChar w:fldCharType="end"/>
        </w:r>
      </w:hyperlink>
    </w:p>
    <w:p w14:paraId="7FD2F781" w14:textId="03B7F77E" w:rsidR="004363BA" w:rsidRDefault="00A84C51">
      <w:pPr>
        <w:pStyle w:val="TOC1"/>
        <w:rPr>
          <w:rFonts w:asciiTheme="minorHAnsi" w:eastAsiaTheme="minorEastAsia" w:hAnsiTheme="minorHAnsi" w:cstheme="minorBidi"/>
          <w:b w:val="0"/>
          <w:sz w:val="22"/>
          <w:szCs w:val="22"/>
          <w:lang w:eastAsia="en-AU"/>
        </w:rPr>
      </w:pPr>
      <w:hyperlink w:anchor="_Toc138239133" w:history="1">
        <w:r w:rsidR="004363BA" w:rsidRPr="000E2F37">
          <w:rPr>
            <w:rStyle w:val="Hyperlink"/>
          </w:rPr>
          <w:t>Appendix C: Organisational boundary</w:t>
        </w:r>
        <w:r w:rsidR="004363BA">
          <w:rPr>
            <w:webHidden/>
          </w:rPr>
          <w:tab/>
        </w:r>
        <w:r w:rsidR="004363BA">
          <w:rPr>
            <w:webHidden/>
          </w:rPr>
          <w:fldChar w:fldCharType="begin"/>
        </w:r>
        <w:r w:rsidR="004363BA">
          <w:rPr>
            <w:webHidden/>
          </w:rPr>
          <w:instrText xml:space="preserve"> PAGEREF _Toc138239133 \h </w:instrText>
        </w:r>
        <w:r w:rsidR="004363BA">
          <w:rPr>
            <w:webHidden/>
          </w:rPr>
        </w:r>
        <w:r w:rsidR="004363BA">
          <w:rPr>
            <w:webHidden/>
          </w:rPr>
          <w:fldChar w:fldCharType="separate"/>
        </w:r>
        <w:r w:rsidR="00F9177B">
          <w:rPr>
            <w:webHidden/>
          </w:rPr>
          <w:t>38</w:t>
        </w:r>
        <w:r w:rsidR="004363BA">
          <w:rPr>
            <w:webHidden/>
          </w:rPr>
          <w:fldChar w:fldCharType="end"/>
        </w:r>
      </w:hyperlink>
    </w:p>
    <w:p w14:paraId="5B6E06A0" w14:textId="414A4BB1" w:rsidR="004363BA" w:rsidRDefault="00A84C51">
      <w:pPr>
        <w:pStyle w:val="TOC1"/>
        <w:rPr>
          <w:rFonts w:asciiTheme="minorHAnsi" w:eastAsiaTheme="minorEastAsia" w:hAnsiTheme="minorHAnsi" w:cstheme="minorBidi"/>
          <w:b w:val="0"/>
          <w:sz w:val="22"/>
          <w:szCs w:val="22"/>
          <w:lang w:eastAsia="en-AU"/>
        </w:rPr>
      </w:pPr>
      <w:hyperlink w:anchor="_Toc138239134" w:history="1">
        <w:r w:rsidR="004363BA" w:rsidRPr="000E2F37">
          <w:rPr>
            <w:rStyle w:val="Hyperlink"/>
            <w:rFonts w:eastAsia="Times"/>
          </w:rPr>
          <w:t xml:space="preserve">Appendix </w:t>
        </w:r>
        <w:r w:rsidR="004363BA" w:rsidRPr="000E2F37">
          <w:rPr>
            <w:rStyle w:val="Hyperlink"/>
          </w:rPr>
          <w:t>D</w:t>
        </w:r>
        <w:r w:rsidR="004363BA" w:rsidRPr="000E2F37">
          <w:rPr>
            <w:rStyle w:val="Hyperlink"/>
            <w:rFonts w:eastAsia="Times"/>
          </w:rPr>
          <w:t xml:space="preserve">: </w:t>
        </w:r>
        <w:r w:rsidR="004363BA" w:rsidRPr="000E2F37">
          <w:rPr>
            <w:rStyle w:val="Hyperlink"/>
          </w:rPr>
          <w:t>Normalising factors and benchmarks</w:t>
        </w:r>
        <w:r w:rsidR="004363BA">
          <w:rPr>
            <w:webHidden/>
          </w:rPr>
          <w:tab/>
        </w:r>
        <w:r w:rsidR="004363BA">
          <w:rPr>
            <w:webHidden/>
          </w:rPr>
          <w:fldChar w:fldCharType="begin"/>
        </w:r>
        <w:r w:rsidR="004363BA">
          <w:rPr>
            <w:webHidden/>
          </w:rPr>
          <w:instrText xml:space="preserve"> PAGEREF _Toc138239134 \h </w:instrText>
        </w:r>
        <w:r w:rsidR="004363BA">
          <w:rPr>
            <w:webHidden/>
          </w:rPr>
        </w:r>
        <w:r w:rsidR="004363BA">
          <w:rPr>
            <w:webHidden/>
          </w:rPr>
          <w:fldChar w:fldCharType="separate"/>
        </w:r>
        <w:r w:rsidR="00F9177B">
          <w:rPr>
            <w:webHidden/>
          </w:rPr>
          <w:t>40</w:t>
        </w:r>
        <w:r w:rsidR="004363BA">
          <w:rPr>
            <w:webHidden/>
          </w:rPr>
          <w:fldChar w:fldCharType="end"/>
        </w:r>
      </w:hyperlink>
    </w:p>
    <w:p w14:paraId="2700FE38" w14:textId="4C49BDFD" w:rsidR="004363BA" w:rsidRDefault="00A84C51">
      <w:pPr>
        <w:pStyle w:val="TOC1"/>
        <w:rPr>
          <w:rFonts w:asciiTheme="minorHAnsi" w:eastAsiaTheme="minorEastAsia" w:hAnsiTheme="minorHAnsi" w:cstheme="minorBidi"/>
          <w:b w:val="0"/>
          <w:sz w:val="22"/>
          <w:szCs w:val="22"/>
          <w:lang w:eastAsia="en-AU"/>
        </w:rPr>
      </w:pPr>
      <w:hyperlink w:anchor="_Toc138239135" w:history="1">
        <w:r w:rsidR="004363BA" w:rsidRPr="000E2F37">
          <w:rPr>
            <w:rStyle w:val="Hyperlink"/>
          </w:rPr>
          <w:t>Appendix E: Medical gases and refrigerants</w:t>
        </w:r>
        <w:r w:rsidR="004363BA">
          <w:rPr>
            <w:webHidden/>
          </w:rPr>
          <w:tab/>
        </w:r>
        <w:r w:rsidR="004363BA">
          <w:rPr>
            <w:webHidden/>
          </w:rPr>
          <w:fldChar w:fldCharType="begin"/>
        </w:r>
        <w:r w:rsidR="004363BA">
          <w:rPr>
            <w:webHidden/>
          </w:rPr>
          <w:instrText xml:space="preserve"> PAGEREF _Toc138239135 \h </w:instrText>
        </w:r>
        <w:r w:rsidR="004363BA">
          <w:rPr>
            <w:webHidden/>
          </w:rPr>
        </w:r>
        <w:r w:rsidR="004363BA">
          <w:rPr>
            <w:webHidden/>
          </w:rPr>
          <w:fldChar w:fldCharType="separate"/>
        </w:r>
        <w:r w:rsidR="00F9177B">
          <w:rPr>
            <w:webHidden/>
          </w:rPr>
          <w:t>42</w:t>
        </w:r>
        <w:r w:rsidR="004363BA">
          <w:rPr>
            <w:webHidden/>
          </w:rPr>
          <w:fldChar w:fldCharType="end"/>
        </w:r>
      </w:hyperlink>
    </w:p>
    <w:p w14:paraId="6C2578DE" w14:textId="0E631BCE" w:rsidR="004363BA" w:rsidRDefault="00A84C51">
      <w:pPr>
        <w:pStyle w:val="TOC1"/>
        <w:rPr>
          <w:rFonts w:asciiTheme="minorHAnsi" w:eastAsiaTheme="minorEastAsia" w:hAnsiTheme="minorHAnsi" w:cstheme="minorBidi"/>
          <w:b w:val="0"/>
          <w:sz w:val="22"/>
          <w:szCs w:val="22"/>
          <w:lang w:eastAsia="en-AU"/>
        </w:rPr>
      </w:pPr>
      <w:hyperlink w:anchor="_Toc138239136" w:history="1">
        <w:r w:rsidR="004363BA" w:rsidRPr="000E2F37">
          <w:rPr>
            <w:rStyle w:val="Hyperlink"/>
          </w:rPr>
          <w:t>Appendix F: Other environmental reporting frameworks</w:t>
        </w:r>
        <w:r w:rsidR="004363BA">
          <w:rPr>
            <w:webHidden/>
          </w:rPr>
          <w:tab/>
        </w:r>
        <w:r w:rsidR="004363BA">
          <w:rPr>
            <w:webHidden/>
          </w:rPr>
          <w:fldChar w:fldCharType="begin"/>
        </w:r>
        <w:r w:rsidR="004363BA">
          <w:rPr>
            <w:webHidden/>
          </w:rPr>
          <w:instrText xml:space="preserve"> PAGEREF _Toc138239136 \h </w:instrText>
        </w:r>
        <w:r w:rsidR="004363BA">
          <w:rPr>
            <w:webHidden/>
          </w:rPr>
        </w:r>
        <w:r w:rsidR="004363BA">
          <w:rPr>
            <w:webHidden/>
          </w:rPr>
          <w:fldChar w:fldCharType="separate"/>
        </w:r>
        <w:r w:rsidR="00F9177B">
          <w:rPr>
            <w:webHidden/>
          </w:rPr>
          <w:t>43</w:t>
        </w:r>
        <w:r w:rsidR="004363BA">
          <w:rPr>
            <w:webHidden/>
          </w:rPr>
          <w:fldChar w:fldCharType="end"/>
        </w:r>
      </w:hyperlink>
    </w:p>
    <w:p w14:paraId="28A08444" w14:textId="749AC445" w:rsidR="00FB1F6E" w:rsidRDefault="00AD784C" w:rsidP="00D079AA">
      <w:pPr>
        <w:pStyle w:val="Body"/>
      </w:pPr>
      <w:r>
        <w:fldChar w:fldCharType="end"/>
      </w:r>
    </w:p>
    <w:p w14:paraId="30FEF960" w14:textId="77777777" w:rsidR="00FB1F6E" w:rsidRDefault="00FB1F6E">
      <w:pPr>
        <w:spacing w:after="0" w:line="240" w:lineRule="auto"/>
        <w:rPr>
          <w:rFonts w:eastAsia="Times"/>
        </w:rPr>
      </w:pPr>
      <w:r>
        <w:br w:type="page"/>
      </w:r>
    </w:p>
    <w:p w14:paraId="77B17C8D" w14:textId="4FD405F8" w:rsidR="00EE29AD" w:rsidRPr="00A71CE4" w:rsidRDefault="007978D8" w:rsidP="001D1D9C">
      <w:pPr>
        <w:pStyle w:val="Heading1"/>
        <w:numPr>
          <w:ilvl w:val="0"/>
          <w:numId w:val="88"/>
        </w:numPr>
        <w:spacing w:before="0"/>
      </w:pPr>
      <w:bookmarkStart w:id="2" w:name="_Ref137572804"/>
      <w:bookmarkStart w:id="3" w:name="_Ref137572817"/>
      <w:bookmarkStart w:id="4" w:name="_Ref137572831"/>
      <w:bookmarkStart w:id="5" w:name="_Toc138239097"/>
      <w:bookmarkStart w:id="6" w:name="_Hlk66712316"/>
      <w:r>
        <w:t>Introduction</w:t>
      </w:r>
      <w:bookmarkEnd w:id="2"/>
      <w:bookmarkEnd w:id="3"/>
      <w:bookmarkEnd w:id="4"/>
      <w:bookmarkEnd w:id="5"/>
    </w:p>
    <w:p w14:paraId="3164595D" w14:textId="435CF65A" w:rsidR="00ED7762" w:rsidRDefault="002A248D" w:rsidP="001D1D9C">
      <w:pPr>
        <w:pStyle w:val="Heading2"/>
        <w:numPr>
          <w:ilvl w:val="1"/>
          <w:numId w:val="91"/>
        </w:numPr>
      </w:pPr>
      <w:bookmarkStart w:id="7" w:name="_Ref137572835"/>
      <w:bookmarkStart w:id="8" w:name="_Toc138239098"/>
      <w:r>
        <w:t>About public environmental reporting</w:t>
      </w:r>
      <w:bookmarkEnd w:id="7"/>
      <w:bookmarkEnd w:id="8"/>
    </w:p>
    <w:p w14:paraId="331197CA" w14:textId="170E4BB7" w:rsidR="00842258" w:rsidRDefault="007978D8" w:rsidP="00ED7762">
      <w:pPr>
        <w:pStyle w:val="Body"/>
      </w:pPr>
      <w:r w:rsidRPr="007978D8">
        <w:t xml:space="preserve">Public environmental reporting </w:t>
      </w:r>
      <w:r w:rsidR="00872A81">
        <w:t>is</w:t>
      </w:r>
      <w:r w:rsidRPr="007978D8">
        <w:t xml:space="preserve"> the public disclosure of an organisation’s performance </w:t>
      </w:r>
      <w:r w:rsidR="006974B8">
        <w:t>around</w:t>
      </w:r>
      <w:r w:rsidRPr="007978D8">
        <w:t xml:space="preserve"> its environmental impacts, </w:t>
      </w:r>
      <w:r w:rsidR="003418DF">
        <w:t>such as</w:t>
      </w:r>
      <w:r w:rsidRPr="007978D8">
        <w:t xml:space="preserve"> energy and water </w:t>
      </w:r>
      <w:r w:rsidR="006974B8" w:rsidRPr="007978D8">
        <w:t>consumption</w:t>
      </w:r>
      <w:r w:rsidR="006974B8">
        <w:t>,</w:t>
      </w:r>
      <w:r w:rsidR="006974B8" w:rsidRPr="007978D8">
        <w:t xml:space="preserve"> </w:t>
      </w:r>
      <w:r w:rsidRPr="007978D8">
        <w:t>and generation of waste and carbon emissions.</w:t>
      </w:r>
      <w:r w:rsidR="008138C6">
        <w:t xml:space="preserve"> </w:t>
      </w:r>
    </w:p>
    <w:p w14:paraId="1F306C3A" w14:textId="430B8853" w:rsidR="007978D8" w:rsidRDefault="008138C6" w:rsidP="00ED7762">
      <w:pPr>
        <w:pStyle w:val="Body"/>
      </w:pPr>
      <w:r w:rsidRPr="008138C6">
        <w:t xml:space="preserve">Public hospitals, health services and other health portfolio entities </w:t>
      </w:r>
      <w:r w:rsidR="006974B8">
        <w:t xml:space="preserve">must </w:t>
      </w:r>
      <w:r w:rsidRPr="008138C6">
        <w:t xml:space="preserve">report </w:t>
      </w:r>
      <w:r w:rsidR="0065155E">
        <w:t>on</w:t>
      </w:r>
      <w:r w:rsidRPr="008138C6">
        <w:t xml:space="preserve"> </w:t>
      </w:r>
      <w:r w:rsidR="00AA0D21">
        <w:t xml:space="preserve">mandatory </w:t>
      </w:r>
      <w:r w:rsidRPr="008138C6">
        <w:t xml:space="preserve">environmental indicators under </w:t>
      </w:r>
      <w:r w:rsidRPr="00DA2565">
        <w:rPr>
          <w:i/>
        </w:rPr>
        <w:t>Financial Reporting Direction 24</w:t>
      </w:r>
      <w:r w:rsidR="002C36A9" w:rsidRPr="00DA2565">
        <w:rPr>
          <w:i/>
        </w:rPr>
        <w:t>: Reporting of environmental data by government entities</w:t>
      </w:r>
      <w:r>
        <w:t xml:space="preserve"> (FRD 24)</w:t>
      </w:r>
      <w:r w:rsidRPr="008138C6">
        <w:t>.</w:t>
      </w:r>
      <w:r w:rsidR="007978D8" w:rsidRPr="007978D8">
        <w:t xml:space="preserve"> Transparency about environmental impacts and performance encourages organisations to improve their environmental management practices.</w:t>
      </w:r>
    </w:p>
    <w:p w14:paraId="49444A75" w14:textId="26E14B83" w:rsidR="007978D8" w:rsidRDefault="007978D8" w:rsidP="00ED7762">
      <w:pPr>
        <w:pStyle w:val="Body"/>
      </w:pPr>
      <w:r w:rsidRPr="007978D8">
        <w:t>Environmental reporting typically involves:</w:t>
      </w:r>
    </w:p>
    <w:p w14:paraId="13218693" w14:textId="1D95F92B" w:rsidR="007978D8" w:rsidRDefault="007978D8">
      <w:pPr>
        <w:pStyle w:val="Bullet1"/>
      </w:pPr>
      <w:r w:rsidRPr="007978D8">
        <w:t xml:space="preserve">determining ‘reporting boundaries’ and ‘materiality’ </w:t>
      </w:r>
      <w:r w:rsidR="006974B8">
        <w:t>around</w:t>
      </w:r>
      <w:r w:rsidRPr="007978D8">
        <w:t xml:space="preserve"> environmental impacts</w:t>
      </w:r>
    </w:p>
    <w:p w14:paraId="669A6393" w14:textId="4B4A3BE2" w:rsidR="007978D8" w:rsidRDefault="007978D8">
      <w:pPr>
        <w:pStyle w:val="Bullet1"/>
      </w:pPr>
      <w:r w:rsidRPr="007978D8">
        <w:t xml:space="preserve">collecting data </w:t>
      </w:r>
      <w:r w:rsidR="00C1701B">
        <w:t>about</w:t>
      </w:r>
      <w:r w:rsidRPr="007978D8">
        <w:t xml:space="preserve"> impacts, reporting metrics and normalising factors</w:t>
      </w:r>
    </w:p>
    <w:p w14:paraId="4447F40D" w14:textId="1A2314E1" w:rsidR="007978D8" w:rsidRDefault="007978D8">
      <w:pPr>
        <w:pStyle w:val="Bullet1"/>
      </w:pPr>
      <w:r w:rsidRPr="007978D8">
        <w:t>commenting on factors that may have affected changes in performance</w:t>
      </w:r>
    </w:p>
    <w:p w14:paraId="4EE4C4CB" w14:textId="0422746E" w:rsidR="007978D8" w:rsidRPr="002365B4" w:rsidRDefault="007978D8">
      <w:pPr>
        <w:pStyle w:val="Bullet1"/>
      </w:pPr>
      <w:r w:rsidRPr="007978D8">
        <w:t>reporting on performance, actions and future plans to improve performance.</w:t>
      </w:r>
    </w:p>
    <w:p w14:paraId="30607D5B" w14:textId="2FCB4DEE" w:rsidR="007978D8" w:rsidRDefault="002A248D" w:rsidP="00F76A04">
      <w:pPr>
        <w:pStyle w:val="Heading2"/>
        <w:numPr>
          <w:ilvl w:val="1"/>
          <w:numId w:val="91"/>
        </w:numPr>
      </w:pPr>
      <w:bookmarkStart w:id="9" w:name="_Toc138239099"/>
      <w:r>
        <w:t>Purpose of these guidelines</w:t>
      </w:r>
      <w:bookmarkEnd w:id="9"/>
    </w:p>
    <w:p w14:paraId="57B2E44F" w14:textId="39D0F592" w:rsidR="00853F27" w:rsidRDefault="008304AC" w:rsidP="00ED7762">
      <w:pPr>
        <w:pStyle w:val="Body"/>
      </w:pPr>
      <w:r w:rsidRPr="008304AC">
        <w:t>The</w:t>
      </w:r>
      <w:r w:rsidR="00B96BC2">
        <w:t>se</w:t>
      </w:r>
      <w:r w:rsidRPr="008304AC">
        <w:t xml:space="preserve"> guidelines </w:t>
      </w:r>
      <w:r w:rsidR="00B96BC2">
        <w:t xml:space="preserve">aim </w:t>
      </w:r>
      <w:r w:rsidR="00F76A04">
        <w:t xml:space="preserve">to </w:t>
      </w:r>
      <w:r w:rsidR="006974B8">
        <w:t xml:space="preserve">help </w:t>
      </w:r>
      <w:r w:rsidR="002D54B5" w:rsidRPr="005379DA">
        <w:t>Victorian public</w:t>
      </w:r>
      <w:r w:rsidR="00C548C9">
        <w:t xml:space="preserve"> hospitals</w:t>
      </w:r>
      <w:r w:rsidR="004059DF">
        <w:t>,</w:t>
      </w:r>
      <w:r w:rsidR="002D54B5" w:rsidRPr="005379DA">
        <w:t xml:space="preserve"> health services</w:t>
      </w:r>
      <w:r w:rsidR="004059DF">
        <w:t xml:space="preserve"> and </w:t>
      </w:r>
      <w:r w:rsidR="00533150">
        <w:t xml:space="preserve">other </w:t>
      </w:r>
      <w:r w:rsidR="001E23B5">
        <w:t>health</w:t>
      </w:r>
      <w:r w:rsidR="00533150">
        <w:t xml:space="preserve"> portfolio</w:t>
      </w:r>
      <w:r w:rsidR="00A26AFE">
        <w:t xml:space="preserve"> entities</w:t>
      </w:r>
      <w:r w:rsidR="002D54B5" w:rsidRPr="005379DA">
        <w:t xml:space="preserve"> </w:t>
      </w:r>
      <w:r w:rsidR="005379DA">
        <w:t>meet</w:t>
      </w:r>
      <w:r w:rsidR="005379DA" w:rsidRPr="005379DA">
        <w:t xml:space="preserve"> legislative and policy requirements for environmental reporti</w:t>
      </w:r>
      <w:r w:rsidR="005379DA" w:rsidRPr="00AE6101">
        <w:t>ng</w:t>
      </w:r>
      <w:r w:rsidR="002D54B5" w:rsidRPr="00AE6101">
        <w:t xml:space="preserve">. </w:t>
      </w:r>
    </w:p>
    <w:p w14:paraId="38E9C689" w14:textId="1F34831C" w:rsidR="005379DA" w:rsidRDefault="002D54B5" w:rsidP="00ED7762">
      <w:pPr>
        <w:pStyle w:val="Body"/>
      </w:pPr>
      <w:r>
        <w:t>Th</w:t>
      </w:r>
      <w:r w:rsidR="5CA733FD">
        <w:t>is</w:t>
      </w:r>
      <w:r w:rsidRPr="00AE6101">
        <w:t xml:space="preserve"> </w:t>
      </w:r>
      <w:r w:rsidR="00F63BE4" w:rsidRPr="00AE6101">
        <w:t xml:space="preserve">document covers </w:t>
      </w:r>
      <w:r w:rsidR="006974B8">
        <w:t xml:space="preserve">FRD 24’s </w:t>
      </w:r>
      <w:r w:rsidR="005D203A" w:rsidRPr="00AE6101">
        <w:t xml:space="preserve">mandatory reporting requirements and </w:t>
      </w:r>
      <w:r w:rsidR="00ED0F43" w:rsidRPr="00AE6101">
        <w:t>provide</w:t>
      </w:r>
      <w:r w:rsidR="003B4331">
        <w:t>s</w:t>
      </w:r>
      <w:r w:rsidR="00ED0F43" w:rsidRPr="00AE6101">
        <w:t xml:space="preserve"> </w:t>
      </w:r>
      <w:r w:rsidR="006974B8">
        <w:t>important</w:t>
      </w:r>
      <w:r w:rsidR="006974B8" w:rsidRPr="00AE6101">
        <w:t xml:space="preserve"> </w:t>
      </w:r>
      <w:r w:rsidR="005D203A" w:rsidRPr="00AE6101">
        <w:t>details o</w:t>
      </w:r>
      <w:r w:rsidR="00ED0F43" w:rsidRPr="00AE6101">
        <w:t>n</w:t>
      </w:r>
      <w:r w:rsidR="005D203A" w:rsidRPr="00AE6101">
        <w:t xml:space="preserve"> </w:t>
      </w:r>
      <w:r w:rsidRPr="00AE6101">
        <w:t>the Department of Health’s system-wide environmental data management system (EDMS)</w:t>
      </w:r>
      <w:r w:rsidR="001343BF">
        <w:t>. The EDMS is also known as</w:t>
      </w:r>
      <w:r w:rsidR="00907902">
        <w:t xml:space="preserve"> Eden</w:t>
      </w:r>
      <w:r w:rsidR="00FE3D97">
        <w:t xml:space="preserve"> </w:t>
      </w:r>
      <w:r w:rsidR="00907902">
        <w:t xml:space="preserve">Suite. </w:t>
      </w:r>
      <w:r w:rsidR="006B7935">
        <w:t xml:space="preserve">The EDMS </w:t>
      </w:r>
      <w:r w:rsidR="006B7935" w:rsidRPr="006B7935">
        <w:t xml:space="preserve">provides a standardised, web-based platform </w:t>
      </w:r>
      <w:r w:rsidR="00336D99">
        <w:t xml:space="preserve">to </w:t>
      </w:r>
      <w:r w:rsidR="006B7935" w:rsidRPr="006B7935">
        <w:t xml:space="preserve">manage </w:t>
      </w:r>
      <w:r w:rsidR="00336D99" w:rsidRPr="006B7935">
        <w:t xml:space="preserve">the </w:t>
      </w:r>
      <w:r w:rsidR="00336D99">
        <w:t xml:space="preserve">public </w:t>
      </w:r>
      <w:r w:rsidR="00336D99" w:rsidRPr="006B7935">
        <w:t>health system</w:t>
      </w:r>
      <w:r w:rsidR="00336D99">
        <w:t>’s</w:t>
      </w:r>
      <w:r w:rsidR="00336D99" w:rsidRPr="006B7935" w:rsidDel="00336D99">
        <w:t xml:space="preserve"> </w:t>
      </w:r>
      <w:r w:rsidR="006B7935" w:rsidRPr="006B7935">
        <w:t>environmental and utility data.</w:t>
      </w:r>
      <w:r w:rsidR="00EE42D6">
        <w:t xml:space="preserve"> </w:t>
      </w:r>
      <w:r w:rsidR="00191F3D">
        <w:t xml:space="preserve">The </w:t>
      </w:r>
      <w:r w:rsidR="7903A1CD">
        <w:t>EDMS</w:t>
      </w:r>
      <w:r w:rsidR="00191F3D">
        <w:t xml:space="preserve"> can </w:t>
      </w:r>
      <w:r w:rsidR="00F1070B">
        <w:t xml:space="preserve">be </w:t>
      </w:r>
      <w:r w:rsidR="00191F3D">
        <w:t>use</w:t>
      </w:r>
      <w:r w:rsidR="00F1070B">
        <w:t>d</w:t>
      </w:r>
      <w:r w:rsidR="00191F3D">
        <w:t xml:space="preserve"> to </w:t>
      </w:r>
      <w:r w:rsidR="00D6569D">
        <w:t xml:space="preserve">easily </w:t>
      </w:r>
      <w:r w:rsidR="00CE181A">
        <w:t>produce</w:t>
      </w:r>
      <w:r w:rsidR="00465C6B">
        <w:t xml:space="preserve"> environmental</w:t>
      </w:r>
      <w:r w:rsidR="00CE181A">
        <w:t xml:space="preserve"> reports </w:t>
      </w:r>
      <w:r w:rsidR="00336D99">
        <w:t xml:space="preserve">that meet </w:t>
      </w:r>
      <w:r w:rsidR="00CE181A">
        <w:t>FRD 24 requirements.</w:t>
      </w:r>
      <w:r w:rsidR="00EA02FC">
        <w:rPr>
          <w:rStyle w:val="FootnoteReference"/>
        </w:rPr>
        <w:footnoteReference w:id="2"/>
      </w:r>
    </w:p>
    <w:p w14:paraId="71B27E6C" w14:textId="40B992C5" w:rsidR="00CF66BC" w:rsidRDefault="001A3DAC" w:rsidP="00ED7762">
      <w:pPr>
        <w:pStyle w:val="Body"/>
      </w:pPr>
      <w:r>
        <w:t>The</w:t>
      </w:r>
      <w:r w:rsidR="00336D99">
        <w:t>se</w:t>
      </w:r>
      <w:r>
        <w:t xml:space="preserve"> guidelines </w:t>
      </w:r>
      <w:r w:rsidR="00B60B19">
        <w:t xml:space="preserve">have been updated </w:t>
      </w:r>
      <w:r w:rsidR="00336D99">
        <w:t>for</w:t>
      </w:r>
      <w:r w:rsidR="00D21349">
        <w:t xml:space="preserve"> the</w:t>
      </w:r>
      <w:r w:rsidR="0061405E">
        <w:t xml:space="preserve"> new environmental reporting requirements</w:t>
      </w:r>
      <w:r w:rsidR="009D59AD">
        <w:t xml:space="preserve"> </w:t>
      </w:r>
      <w:r w:rsidR="0061405E">
        <w:t xml:space="preserve">stemming from </w:t>
      </w:r>
      <w:r w:rsidR="0061405E" w:rsidRPr="00C146F4">
        <w:t>FRD 24</w:t>
      </w:r>
      <w:r w:rsidR="00482E34" w:rsidRPr="00C146F4">
        <w:t>,</w:t>
      </w:r>
      <w:r w:rsidR="0061405E" w:rsidRPr="00C146F4">
        <w:t xml:space="preserve"> </w:t>
      </w:r>
      <w:r w:rsidR="00482E34" w:rsidRPr="00C146F4">
        <w:t xml:space="preserve">which was </w:t>
      </w:r>
      <w:r w:rsidR="2FAD2792" w:rsidRPr="00C146F4">
        <w:t>released in 202</w:t>
      </w:r>
      <w:r w:rsidR="00EA02FC" w:rsidRPr="00C146F4">
        <w:t>2</w:t>
      </w:r>
      <w:r w:rsidR="00336D99" w:rsidRPr="00C146F4">
        <w:t>.</w:t>
      </w:r>
      <w:r w:rsidR="2FAD2792" w:rsidRPr="00C146F4">
        <w:t xml:space="preserve"> </w:t>
      </w:r>
      <w:r w:rsidR="005379DA" w:rsidRPr="00C146F4">
        <w:t>The</w:t>
      </w:r>
      <w:r w:rsidR="005379DA" w:rsidRPr="005379DA">
        <w:t xml:space="preserve"> guidelines will be </w:t>
      </w:r>
      <w:r w:rsidR="001E398D">
        <w:t xml:space="preserve">progressively </w:t>
      </w:r>
      <w:r w:rsidR="005379DA" w:rsidRPr="005379DA">
        <w:t xml:space="preserve">reviewed and </w:t>
      </w:r>
      <w:r w:rsidR="007179B8">
        <w:t>updated</w:t>
      </w:r>
      <w:r w:rsidR="005379DA" w:rsidRPr="005379DA">
        <w:t xml:space="preserve"> </w:t>
      </w:r>
      <w:r w:rsidR="001E398D">
        <w:t xml:space="preserve">to ensure </w:t>
      </w:r>
      <w:r w:rsidR="00336D99">
        <w:t xml:space="preserve">consistency </w:t>
      </w:r>
      <w:r w:rsidR="001E398D">
        <w:t>with</w:t>
      </w:r>
      <w:r w:rsidR="007179B8">
        <w:t xml:space="preserve"> </w:t>
      </w:r>
      <w:r w:rsidR="56CC0019">
        <w:t xml:space="preserve">the latest </w:t>
      </w:r>
      <w:r w:rsidR="007179B8">
        <w:t>FRD 24 reporting requirements</w:t>
      </w:r>
      <w:r w:rsidR="005379DA" w:rsidRPr="005379DA">
        <w:t>.</w:t>
      </w:r>
    </w:p>
    <w:p w14:paraId="020FD983" w14:textId="7E69CD38" w:rsidR="004F0ACE" w:rsidRDefault="004F0ACE" w:rsidP="00ED7762">
      <w:pPr>
        <w:pStyle w:val="Body"/>
      </w:pPr>
      <w:r>
        <w:t xml:space="preserve">The guidelines are not a substitute for the FRD 24 reporting requirements themselves </w:t>
      </w:r>
      <w:r w:rsidRPr="001A7E3F">
        <w:t>and</w:t>
      </w:r>
      <w:r w:rsidRPr="005379DA">
        <w:t xml:space="preserve"> must not be relied upon for meeting </w:t>
      </w:r>
      <w:r w:rsidR="00336D99">
        <w:t>FRD 24</w:t>
      </w:r>
      <w:r w:rsidR="00336D99" w:rsidRPr="005379DA">
        <w:t xml:space="preserve"> </w:t>
      </w:r>
      <w:r w:rsidRPr="005379DA">
        <w:t>requirements</w:t>
      </w:r>
      <w:r>
        <w:t>.</w:t>
      </w:r>
      <w:r w:rsidR="00336D99">
        <w:t xml:space="preserve"> For more information</w:t>
      </w:r>
      <w:r w:rsidR="00950DB5">
        <w:t xml:space="preserve"> on FRD 24</w:t>
      </w:r>
      <w:r w:rsidR="00336D99">
        <w:t xml:space="preserve">, see </w:t>
      </w:r>
      <w:r w:rsidR="00336D99">
        <w:rPr>
          <w:b/>
          <w:bCs/>
          <w:u w:val="single"/>
        </w:rPr>
        <w:fldChar w:fldCharType="begin"/>
      </w:r>
      <w:r w:rsidR="00336D99">
        <w:rPr>
          <w:b/>
          <w:bCs/>
          <w:u w:val="single"/>
        </w:rPr>
        <w:instrText xml:space="preserve"> REF _Ref137573211 \r \h </w:instrText>
      </w:r>
      <w:r w:rsidR="00336D99">
        <w:rPr>
          <w:b/>
          <w:bCs/>
          <w:u w:val="single"/>
        </w:rPr>
      </w:r>
      <w:r w:rsidR="00336D99">
        <w:rPr>
          <w:b/>
          <w:bCs/>
          <w:u w:val="single"/>
        </w:rPr>
        <w:fldChar w:fldCharType="separate"/>
      </w:r>
      <w:r w:rsidR="00C52465">
        <w:rPr>
          <w:b/>
          <w:bCs/>
          <w:u w:val="single"/>
        </w:rPr>
        <w:t>5.1</w:t>
      </w:r>
      <w:r w:rsidR="00336D99">
        <w:rPr>
          <w:b/>
          <w:bCs/>
          <w:u w:val="single"/>
        </w:rPr>
        <w:fldChar w:fldCharType="end"/>
      </w:r>
      <w:r w:rsidR="00336D99">
        <w:rPr>
          <w:b/>
          <w:bCs/>
          <w:u w:val="single"/>
        </w:rPr>
        <w:t xml:space="preserve"> </w:t>
      </w:r>
      <w:r w:rsidR="00336D99" w:rsidRPr="00091C3D">
        <w:rPr>
          <w:b/>
          <w:bCs/>
          <w:u w:val="single"/>
        </w:rPr>
        <w:fldChar w:fldCharType="begin"/>
      </w:r>
      <w:r w:rsidR="00336D99" w:rsidRPr="00091C3D">
        <w:rPr>
          <w:b/>
          <w:bCs/>
          <w:u w:val="single"/>
        </w:rPr>
        <w:instrText xml:space="preserve"> REF _Ref137573163 \h  \* MERGEFORMAT </w:instrText>
      </w:r>
      <w:r w:rsidR="00336D99" w:rsidRPr="00091C3D">
        <w:rPr>
          <w:b/>
          <w:bCs/>
          <w:u w:val="single"/>
        </w:rPr>
      </w:r>
      <w:r w:rsidR="00336D99" w:rsidRPr="00091C3D">
        <w:rPr>
          <w:b/>
          <w:bCs/>
          <w:u w:val="single"/>
        </w:rPr>
        <w:fldChar w:fldCharType="separate"/>
      </w:r>
      <w:r w:rsidR="00C52465" w:rsidRPr="00091C3D">
        <w:rPr>
          <w:b/>
          <w:bCs/>
          <w:u w:val="single"/>
        </w:rPr>
        <w:t>Useful resources</w:t>
      </w:r>
      <w:r w:rsidR="00336D99" w:rsidRPr="00091C3D">
        <w:rPr>
          <w:b/>
          <w:bCs/>
          <w:u w:val="single"/>
        </w:rPr>
        <w:fldChar w:fldCharType="end"/>
      </w:r>
      <w:r w:rsidR="00336D99">
        <w:t>.</w:t>
      </w:r>
    </w:p>
    <w:p w14:paraId="6D91A711" w14:textId="0A99C71A" w:rsidR="009371CE" w:rsidRDefault="00FD538B" w:rsidP="00C016F0">
      <w:pPr>
        <w:pStyle w:val="Heading2"/>
        <w:numPr>
          <w:ilvl w:val="1"/>
          <w:numId w:val="91"/>
        </w:numPr>
      </w:pPr>
      <w:bookmarkStart w:id="10" w:name="_Toc138239100"/>
      <w:r w:rsidRPr="00470604">
        <w:t>Scope of emissions</w:t>
      </w:r>
      <w:bookmarkEnd w:id="10"/>
    </w:p>
    <w:p w14:paraId="5AA9B2E9" w14:textId="24FAD0B1" w:rsidR="001356D2" w:rsidRDefault="00337D3C" w:rsidP="00701F93">
      <w:pPr>
        <w:pStyle w:val="Body"/>
      </w:pPr>
      <w:r>
        <w:t>T</w:t>
      </w:r>
      <w:r w:rsidR="00A62DB8">
        <w:t>he Greenhouse Gas (GHG) Protocol</w:t>
      </w:r>
      <w:r>
        <w:t xml:space="preserve"> categori</w:t>
      </w:r>
      <w:r w:rsidR="6792172D">
        <w:t>s</w:t>
      </w:r>
      <w:r>
        <w:t xml:space="preserve">es an organisation’s emissions under </w:t>
      </w:r>
      <w:r w:rsidR="33EBB5E1">
        <w:t>Scope 1, Scope 2 and Scope 3</w:t>
      </w:r>
      <w:r w:rsidR="00A62DB8">
        <w:t xml:space="preserve">. </w:t>
      </w:r>
      <w:r w:rsidR="42756AD5">
        <w:t xml:space="preserve">A </w:t>
      </w:r>
      <w:r w:rsidR="42756AD5" w:rsidRPr="00950DB5">
        <w:t>summary</w:t>
      </w:r>
      <w:r w:rsidR="42756AD5">
        <w:t xml:space="preserve"> of the three different scopes is in </w:t>
      </w:r>
      <w:hyperlink w:anchor="_Appendix_A:_Scope" w:history="1">
        <w:r w:rsidR="00336D99" w:rsidRPr="003601E9">
          <w:rPr>
            <w:rStyle w:val="Hyperlink"/>
            <w:b/>
            <w:bCs/>
            <w:u w:val="single"/>
          </w:rPr>
          <w:fldChar w:fldCharType="begin"/>
        </w:r>
        <w:r w:rsidR="00336D99" w:rsidRPr="003601E9">
          <w:rPr>
            <w:b/>
            <w:bCs/>
            <w:u w:val="single"/>
          </w:rPr>
          <w:instrText xml:space="preserve"> REF _Ref137572638 \h </w:instrText>
        </w:r>
        <w:r w:rsidR="00336D99" w:rsidRPr="003601E9">
          <w:rPr>
            <w:rStyle w:val="Hyperlink"/>
            <w:b/>
            <w:bCs/>
            <w:u w:val="single"/>
          </w:rPr>
          <w:instrText xml:space="preserve"> \* MERGEFORMAT </w:instrText>
        </w:r>
        <w:r w:rsidR="00336D99" w:rsidRPr="003601E9">
          <w:rPr>
            <w:rStyle w:val="Hyperlink"/>
            <w:b/>
            <w:bCs/>
            <w:u w:val="single"/>
          </w:rPr>
        </w:r>
        <w:r w:rsidR="00336D99" w:rsidRPr="003601E9">
          <w:rPr>
            <w:rStyle w:val="Hyperlink"/>
            <w:b/>
            <w:bCs/>
            <w:u w:val="single"/>
          </w:rPr>
          <w:fldChar w:fldCharType="separate"/>
        </w:r>
        <w:r w:rsidR="00C52465" w:rsidRPr="003601E9">
          <w:rPr>
            <w:b/>
            <w:bCs/>
            <w:u w:val="single"/>
          </w:rPr>
          <w:t>Appendix A: Scope of emissions</w:t>
        </w:r>
        <w:r w:rsidR="00336D99" w:rsidRPr="003601E9">
          <w:rPr>
            <w:rStyle w:val="Hyperlink"/>
            <w:b/>
            <w:bCs/>
            <w:u w:val="single"/>
          </w:rPr>
          <w:fldChar w:fldCharType="end"/>
        </w:r>
      </w:hyperlink>
      <w:r w:rsidR="42756AD5">
        <w:t>.</w:t>
      </w:r>
      <w:r w:rsidR="00A62DB8">
        <w:t xml:space="preserve"> </w:t>
      </w:r>
      <w:r w:rsidR="00336D99">
        <w:t xml:space="preserve">For detailed explanations, see </w:t>
      </w:r>
      <w:r w:rsidR="00A62DB8">
        <w:t xml:space="preserve">the </w:t>
      </w:r>
      <w:hyperlink r:id="rId14" w:history="1">
        <w:r w:rsidR="00336D99">
          <w:rPr>
            <w:rStyle w:val="Hyperlink"/>
          </w:rPr>
          <w:t>GHG Protocol website's Corporate standard page</w:t>
        </w:r>
      </w:hyperlink>
      <w:r w:rsidR="0052416B">
        <w:t xml:space="preserve"> &lt;https://ghgprotocol.org/corporate-standard&gt;</w:t>
      </w:r>
      <w:r w:rsidR="00A62DB8">
        <w:t>.</w:t>
      </w:r>
      <w:r w:rsidR="001356D2">
        <w:br w:type="page"/>
      </w:r>
    </w:p>
    <w:p w14:paraId="0C633EC4" w14:textId="19ACF05B" w:rsidR="001356D2" w:rsidRDefault="001356D2" w:rsidP="00701F93">
      <w:pPr>
        <w:pStyle w:val="Heading2"/>
        <w:numPr>
          <w:ilvl w:val="1"/>
          <w:numId w:val="91"/>
        </w:numPr>
      </w:pPr>
      <w:bookmarkStart w:id="11" w:name="_Toc138239101"/>
      <w:r>
        <w:t>Glossary</w:t>
      </w:r>
      <w:bookmarkEnd w:id="11"/>
    </w:p>
    <w:tbl>
      <w:tblPr>
        <w:tblStyle w:val="Bluetable"/>
        <w:tblW w:w="0" w:type="auto"/>
        <w:tblInd w:w="5" w:type="dxa"/>
        <w:tblLook w:val="04A0" w:firstRow="1" w:lastRow="0" w:firstColumn="1" w:lastColumn="0" w:noHBand="0" w:noVBand="1"/>
      </w:tblPr>
      <w:tblGrid>
        <w:gridCol w:w="2689"/>
        <w:gridCol w:w="6599"/>
      </w:tblGrid>
      <w:tr w:rsidR="009632C2" w:rsidRPr="002B008D" w14:paraId="5DECF3BF" w14:textId="77777777" w:rsidTr="00B96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01BC4457" w14:textId="77777777" w:rsidR="009632C2" w:rsidRPr="002B008D" w:rsidRDefault="009632C2" w:rsidP="002B008D">
            <w:pPr>
              <w:pStyle w:val="Tablecolhead"/>
            </w:pPr>
            <w:r w:rsidRPr="002B008D">
              <w:t>Term</w:t>
            </w:r>
          </w:p>
        </w:tc>
        <w:tc>
          <w:tcPr>
            <w:tcW w:w="6599" w:type="dxa"/>
          </w:tcPr>
          <w:p w14:paraId="2E967AAC" w14:textId="77777777" w:rsidR="009632C2" w:rsidRPr="002B008D" w:rsidRDefault="009632C2" w:rsidP="002B008D">
            <w:pPr>
              <w:pStyle w:val="Tablecolhead"/>
              <w:cnfStyle w:val="100000000000" w:firstRow="1" w:lastRow="0" w:firstColumn="0" w:lastColumn="0" w:oddVBand="0" w:evenVBand="0" w:oddHBand="0" w:evenHBand="0" w:firstRowFirstColumn="0" w:firstRowLastColumn="0" w:lastRowFirstColumn="0" w:lastRowLastColumn="0"/>
            </w:pPr>
            <w:r w:rsidRPr="002B008D">
              <w:t>Definition</w:t>
            </w:r>
          </w:p>
        </w:tc>
      </w:tr>
      <w:tr w:rsidR="009632C2" w:rsidRPr="002B008D" w14:paraId="64A2BF81"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4FE05E" w14:textId="77777777" w:rsidR="009632C2" w:rsidRPr="002B008D" w:rsidRDefault="009632C2" w:rsidP="002B008D">
            <w:pPr>
              <w:pStyle w:val="Tabletext"/>
            </w:pPr>
            <w:r w:rsidRPr="002B008D">
              <w:t>ATF</w:t>
            </w:r>
          </w:p>
        </w:tc>
        <w:tc>
          <w:tcPr>
            <w:tcW w:w="6599" w:type="dxa"/>
          </w:tcPr>
          <w:p w14:paraId="215F6B43" w14:textId="77777777"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Aviation turbine fuel</w:t>
            </w:r>
          </w:p>
        </w:tc>
      </w:tr>
      <w:tr w:rsidR="009632C2" w:rsidRPr="002B008D" w14:paraId="5B25A190"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99B3B8" w14:textId="77777777" w:rsidR="009632C2" w:rsidRPr="002B008D" w:rsidRDefault="009632C2" w:rsidP="002B008D">
            <w:pPr>
              <w:pStyle w:val="Tabletext"/>
            </w:pPr>
            <w:r w:rsidRPr="002B008D">
              <w:t>Avgas</w:t>
            </w:r>
          </w:p>
        </w:tc>
        <w:tc>
          <w:tcPr>
            <w:tcW w:w="6599" w:type="dxa"/>
          </w:tcPr>
          <w:p w14:paraId="6D907D59"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rsidRPr="002B008D">
              <w:t>Aviation gasoline</w:t>
            </w:r>
          </w:p>
        </w:tc>
      </w:tr>
      <w:tr w:rsidR="009632C2" w:rsidRPr="002B008D" w14:paraId="2C811A10"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B3F03F" w14:textId="77777777" w:rsidR="009632C2" w:rsidRPr="002B008D" w:rsidRDefault="009632C2" w:rsidP="002B008D">
            <w:pPr>
              <w:pStyle w:val="Tabletext"/>
            </w:pPr>
            <w:r w:rsidRPr="002B008D">
              <w:t>DEECA</w:t>
            </w:r>
          </w:p>
        </w:tc>
        <w:tc>
          <w:tcPr>
            <w:tcW w:w="6599" w:type="dxa"/>
          </w:tcPr>
          <w:p w14:paraId="0B14800D" w14:textId="6E79BC9B"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 xml:space="preserve">Department of </w:t>
            </w:r>
            <w:r w:rsidR="00950DB5">
              <w:t>Energy, Environment and Climate Action</w:t>
            </w:r>
          </w:p>
        </w:tc>
      </w:tr>
      <w:tr w:rsidR="009632C2" w:rsidRPr="002B008D" w14:paraId="644911D2"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D19926" w14:textId="77777777" w:rsidR="009632C2" w:rsidRPr="002B008D" w:rsidRDefault="009632C2" w:rsidP="002B008D">
            <w:pPr>
              <w:pStyle w:val="Tabletext"/>
            </w:pPr>
            <w:r w:rsidRPr="002B008D">
              <w:t>Department</w:t>
            </w:r>
          </w:p>
        </w:tc>
        <w:tc>
          <w:tcPr>
            <w:tcW w:w="6599" w:type="dxa"/>
          </w:tcPr>
          <w:p w14:paraId="56ED2FA1"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rsidRPr="002B008D">
              <w:t>Department of Health</w:t>
            </w:r>
          </w:p>
        </w:tc>
      </w:tr>
      <w:tr w:rsidR="009632C2" w:rsidRPr="002B008D" w14:paraId="1022EA69"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3D996D" w14:textId="77777777" w:rsidR="009632C2" w:rsidRPr="002B008D" w:rsidRDefault="009632C2" w:rsidP="002B008D">
            <w:pPr>
              <w:pStyle w:val="Tabletext"/>
            </w:pPr>
            <w:r w:rsidRPr="002B008D">
              <w:t>DTF</w:t>
            </w:r>
          </w:p>
        </w:tc>
        <w:tc>
          <w:tcPr>
            <w:tcW w:w="6599" w:type="dxa"/>
          </w:tcPr>
          <w:p w14:paraId="7033D944" w14:textId="77777777"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Department of Treasury and Finance</w:t>
            </w:r>
          </w:p>
        </w:tc>
      </w:tr>
      <w:tr w:rsidR="009632C2" w:rsidRPr="002B008D" w14:paraId="074A9EB8"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87766B" w14:textId="77777777" w:rsidR="009632C2" w:rsidRPr="002B008D" w:rsidRDefault="009632C2" w:rsidP="002B008D">
            <w:pPr>
              <w:pStyle w:val="Tabletext"/>
            </w:pPr>
            <w:r w:rsidRPr="002B008D">
              <w:t>EDMS</w:t>
            </w:r>
          </w:p>
        </w:tc>
        <w:tc>
          <w:tcPr>
            <w:tcW w:w="6599" w:type="dxa"/>
          </w:tcPr>
          <w:p w14:paraId="35D6AA28"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rsidRPr="002B008D">
              <w:t>Environmental data management system</w:t>
            </w:r>
          </w:p>
        </w:tc>
      </w:tr>
      <w:tr w:rsidR="009632C2" w:rsidRPr="002B008D" w14:paraId="32D3A338"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B7B8AF" w14:textId="77777777" w:rsidR="009632C2" w:rsidRPr="002B008D" w:rsidRDefault="009632C2" w:rsidP="002B008D">
            <w:pPr>
              <w:pStyle w:val="Tabletext"/>
            </w:pPr>
            <w:r w:rsidRPr="002B008D">
              <w:t>FRD 24</w:t>
            </w:r>
          </w:p>
        </w:tc>
        <w:tc>
          <w:tcPr>
            <w:tcW w:w="6599" w:type="dxa"/>
          </w:tcPr>
          <w:p w14:paraId="2734E220" w14:textId="32D80420"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DA2565">
              <w:rPr>
                <w:i/>
              </w:rPr>
              <w:t>Financial Reporting Direction 24: Reporting of environmental data by government entities</w:t>
            </w:r>
          </w:p>
        </w:tc>
      </w:tr>
      <w:tr w:rsidR="009632C2" w:rsidRPr="002B008D" w14:paraId="4997D47B"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295AA8" w14:textId="77777777" w:rsidR="009632C2" w:rsidRPr="002B008D" w:rsidRDefault="009632C2" w:rsidP="002B008D">
            <w:pPr>
              <w:pStyle w:val="Tabletext"/>
            </w:pPr>
            <w:r w:rsidRPr="002B008D">
              <w:t>FTE</w:t>
            </w:r>
          </w:p>
        </w:tc>
        <w:tc>
          <w:tcPr>
            <w:tcW w:w="6599" w:type="dxa"/>
          </w:tcPr>
          <w:p w14:paraId="5987CB87"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rsidRPr="002B008D">
              <w:t>Full-time equivalent</w:t>
            </w:r>
          </w:p>
        </w:tc>
      </w:tr>
      <w:tr w:rsidR="009632C2" w:rsidRPr="002B008D" w14:paraId="395570A3"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BF55BD" w14:textId="77777777" w:rsidR="009632C2" w:rsidRPr="002B008D" w:rsidRDefault="009632C2" w:rsidP="002B008D">
            <w:pPr>
              <w:pStyle w:val="Tabletext"/>
            </w:pPr>
            <w:r w:rsidRPr="002B008D">
              <w:t>GHG Protocol</w:t>
            </w:r>
          </w:p>
        </w:tc>
        <w:tc>
          <w:tcPr>
            <w:tcW w:w="6599" w:type="dxa"/>
          </w:tcPr>
          <w:p w14:paraId="27491272" w14:textId="77777777"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Greenhouse Gas Protocol</w:t>
            </w:r>
          </w:p>
        </w:tc>
      </w:tr>
      <w:tr w:rsidR="009632C2" w:rsidRPr="002B008D" w14:paraId="3CDE5A8D"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CEF329" w14:textId="77777777" w:rsidR="009632C2" w:rsidRPr="002B008D" w:rsidRDefault="009632C2" w:rsidP="002B008D">
            <w:pPr>
              <w:pStyle w:val="Tabletext"/>
            </w:pPr>
            <w:r w:rsidRPr="002B008D">
              <w:t>HSV</w:t>
            </w:r>
          </w:p>
        </w:tc>
        <w:tc>
          <w:tcPr>
            <w:tcW w:w="6599" w:type="dxa"/>
          </w:tcPr>
          <w:p w14:paraId="27532C7C"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proofErr w:type="spellStart"/>
            <w:r w:rsidRPr="002B008D">
              <w:t>HealthShare</w:t>
            </w:r>
            <w:proofErr w:type="spellEnd"/>
            <w:r w:rsidRPr="002B008D">
              <w:t xml:space="preserve"> Victoria</w:t>
            </w:r>
          </w:p>
        </w:tc>
      </w:tr>
      <w:tr w:rsidR="009632C2" w:rsidRPr="002B008D" w14:paraId="38235DD5"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44B455" w14:textId="77777777" w:rsidR="009632C2" w:rsidRPr="002B008D" w:rsidRDefault="009632C2" w:rsidP="002B008D">
            <w:pPr>
              <w:pStyle w:val="Tabletext"/>
            </w:pPr>
            <w:r w:rsidRPr="002B008D">
              <w:t>LGC</w:t>
            </w:r>
          </w:p>
        </w:tc>
        <w:tc>
          <w:tcPr>
            <w:tcW w:w="6599" w:type="dxa"/>
          </w:tcPr>
          <w:p w14:paraId="1BC6E3F1" w14:textId="77777777"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Large-scale generation certificate</w:t>
            </w:r>
          </w:p>
        </w:tc>
      </w:tr>
      <w:tr w:rsidR="009632C2" w:rsidRPr="002B008D" w14:paraId="70A746BD"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FD38095" w14:textId="77777777" w:rsidR="009632C2" w:rsidRPr="002B008D" w:rsidRDefault="009632C2" w:rsidP="002B008D">
            <w:pPr>
              <w:pStyle w:val="Tabletext"/>
            </w:pPr>
            <w:r w:rsidRPr="002B008D">
              <w:t>LPG</w:t>
            </w:r>
          </w:p>
        </w:tc>
        <w:tc>
          <w:tcPr>
            <w:tcW w:w="6599" w:type="dxa"/>
          </w:tcPr>
          <w:p w14:paraId="2FF8A38E" w14:textId="77777777"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rsidRPr="002B008D">
              <w:t>Liquid petroleum gas</w:t>
            </w:r>
          </w:p>
        </w:tc>
      </w:tr>
      <w:tr w:rsidR="009632C2" w:rsidRPr="002B008D" w14:paraId="3A09ED9E"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51BDCA" w14:textId="77777777" w:rsidR="009632C2" w:rsidRPr="002B008D" w:rsidRDefault="009632C2" w:rsidP="002B008D">
            <w:pPr>
              <w:pStyle w:val="Tabletext"/>
            </w:pPr>
            <w:r w:rsidRPr="002B008D">
              <w:t>NABERS</w:t>
            </w:r>
          </w:p>
        </w:tc>
        <w:tc>
          <w:tcPr>
            <w:tcW w:w="6599" w:type="dxa"/>
          </w:tcPr>
          <w:p w14:paraId="46EAD569" w14:textId="6DB77401"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682205">
              <w:t>National Australian Built Environment Rating System</w:t>
            </w:r>
          </w:p>
        </w:tc>
      </w:tr>
      <w:tr w:rsidR="009632C2" w:rsidRPr="002B008D" w14:paraId="06C4C52E" w14:textId="77777777" w:rsidTr="00B9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9EDA363" w14:textId="77777777" w:rsidR="009632C2" w:rsidRPr="002B008D" w:rsidRDefault="009632C2" w:rsidP="002B008D">
            <w:pPr>
              <w:pStyle w:val="Tabletext"/>
            </w:pPr>
            <w:r w:rsidRPr="002B008D">
              <w:t>NGA</w:t>
            </w:r>
          </w:p>
        </w:tc>
        <w:tc>
          <w:tcPr>
            <w:tcW w:w="6599" w:type="dxa"/>
          </w:tcPr>
          <w:p w14:paraId="1CA1D067" w14:textId="75C33170" w:rsidR="009632C2" w:rsidRPr="002B008D" w:rsidRDefault="009632C2" w:rsidP="002B008D">
            <w:pPr>
              <w:pStyle w:val="Tabletext"/>
              <w:cnfStyle w:val="000000010000" w:firstRow="0" w:lastRow="0" w:firstColumn="0" w:lastColumn="0" w:oddVBand="0" w:evenVBand="0" w:oddHBand="0" w:evenHBand="1" w:firstRowFirstColumn="0" w:firstRowLastColumn="0" w:lastRowFirstColumn="0" w:lastRowLastColumn="0"/>
            </w:pPr>
            <w:r>
              <w:t>National Greenhouse Accounts</w:t>
            </w:r>
          </w:p>
        </w:tc>
      </w:tr>
      <w:tr w:rsidR="009632C2" w:rsidRPr="002B008D" w14:paraId="6325962A" w14:textId="77777777" w:rsidTr="00B9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51C4B0" w14:textId="77777777" w:rsidR="009632C2" w:rsidRPr="002B008D" w:rsidRDefault="009632C2" w:rsidP="002B008D">
            <w:pPr>
              <w:pStyle w:val="Tabletext"/>
            </w:pPr>
            <w:r w:rsidRPr="002B008D">
              <w:t>SSP</w:t>
            </w:r>
          </w:p>
        </w:tc>
        <w:tc>
          <w:tcPr>
            <w:tcW w:w="6599" w:type="dxa"/>
          </w:tcPr>
          <w:p w14:paraId="52F38441" w14:textId="77777777" w:rsidR="009632C2" w:rsidRPr="002B008D" w:rsidRDefault="009632C2" w:rsidP="002B008D">
            <w:pPr>
              <w:pStyle w:val="Tabletext"/>
              <w:cnfStyle w:val="000000100000" w:firstRow="0" w:lastRow="0" w:firstColumn="0" w:lastColumn="0" w:oddVBand="0" w:evenVBand="0" w:oddHBand="1" w:evenHBand="0" w:firstRowFirstColumn="0" w:firstRowLastColumn="0" w:lastRowFirstColumn="0" w:lastRowLastColumn="0"/>
            </w:pPr>
            <w:r w:rsidRPr="002B008D">
              <w:t>Shared service provider</w:t>
            </w:r>
          </w:p>
        </w:tc>
      </w:tr>
    </w:tbl>
    <w:p w14:paraId="4A940C78" w14:textId="758C4DFA" w:rsidR="001356D2" w:rsidRDefault="001356D2">
      <w:pPr>
        <w:spacing w:after="0" w:line="240" w:lineRule="auto"/>
        <w:rPr>
          <w:rFonts w:eastAsia="Times"/>
        </w:rPr>
      </w:pPr>
      <w:r>
        <w:br w:type="page"/>
      </w:r>
    </w:p>
    <w:p w14:paraId="15B4E7B7" w14:textId="7AA30346" w:rsidR="00A93B44" w:rsidRDefault="00A93B44" w:rsidP="00B962E1">
      <w:pPr>
        <w:pStyle w:val="Heading1"/>
        <w:numPr>
          <w:ilvl w:val="0"/>
          <w:numId w:val="91"/>
        </w:numPr>
        <w:spacing w:before="0"/>
      </w:pPr>
      <w:bookmarkStart w:id="12" w:name="_Toc137721884"/>
      <w:bookmarkStart w:id="13" w:name="_Toc137727386"/>
      <w:bookmarkStart w:id="14" w:name="_Reporting_under_FRD"/>
      <w:bookmarkStart w:id="15" w:name="_Toc138239102"/>
      <w:bookmarkEnd w:id="12"/>
      <w:bookmarkEnd w:id="13"/>
      <w:bookmarkEnd w:id="14"/>
      <w:r>
        <w:t xml:space="preserve">Reporting under </w:t>
      </w:r>
      <w:r w:rsidR="002E3582">
        <w:t>FRD</w:t>
      </w:r>
      <w:r>
        <w:t xml:space="preserve"> 24</w:t>
      </w:r>
      <w:bookmarkEnd w:id="15"/>
    </w:p>
    <w:p w14:paraId="1056EA54" w14:textId="6E5219BF" w:rsidR="0008191C" w:rsidRDefault="00336D99" w:rsidP="00B962E1">
      <w:pPr>
        <w:pStyle w:val="Heading2"/>
        <w:numPr>
          <w:ilvl w:val="1"/>
          <w:numId w:val="91"/>
        </w:numPr>
      </w:pPr>
      <w:bookmarkStart w:id="16" w:name="_Toc138239103"/>
      <w:r>
        <w:t>Background</w:t>
      </w:r>
      <w:bookmarkEnd w:id="16"/>
    </w:p>
    <w:p w14:paraId="118540F4" w14:textId="5361E19C" w:rsidR="00DA2565" w:rsidRDefault="00DA2565" w:rsidP="0008191C">
      <w:pPr>
        <w:pStyle w:val="Body"/>
      </w:pPr>
      <w:r w:rsidRPr="00DA2565">
        <w:t>Victoria was one of the first jurisdictions in the world to put a net-zero emissions target in</w:t>
      </w:r>
      <w:r w:rsidR="00754B2F">
        <w:t>to</w:t>
      </w:r>
      <w:r w:rsidRPr="00DA2565">
        <w:t xml:space="preserve"> law. The </w:t>
      </w:r>
      <w:r w:rsidR="00754B2F">
        <w:t>g</w:t>
      </w:r>
      <w:r w:rsidRPr="00DA2565">
        <w:t xml:space="preserve">overnment brought forward </w:t>
      </w:r>
      <w:r w:rsidR="00AB5E69">
        <w:t>its</w:t>
      </w:r>
      <w:r w:rsidRPr="00DA2565">
        <w:t xml:space="preserve"> commitment to achieve net-zero from 2050 to 2045</w:t>
      </w:r>
      <w:r w:rsidR="00754B2F">
        <w:t>.</w:t>
      </w:r>
      <w:r>
        <w:t xml:space="preserve"> </w:t>
      </w:r>
      <w:r w:rsidR="00754B2F">
        <w:t xml:space="preserve">It </w:t>
      </w:r>
      <w:r>
        <w:t>is aiming to cut emissions by 45</w:t>
      </w:r>
      <w:r w:rsidR="007B4F70">
        <w:t xml:space="preserve"> to </w:t>
      </w:r>
      <w:r>
        <w:t>50</w:t>
      </w:r>
      <w:r w:rsidR="007B4F70">
        <w:t xml:space="preserve"> per cent </w:t>
      </w:r>
      <w:r>
        <w:t>by 2030.</w:t>
      </w:r>
    </w:p>
    <w:p w14:paraId="000FCE3F" w14:textId="42DDB029" w:rsidR="00210D69" w:rsidRDefault="0027395A" w:rsidP="0008191C">
      <w:pPr>
        <w:pStyle w:val="Body"/>
      </w:pPr>
      <w:r>
        <w:t>To</w:t>
      </w:r>
      <w:r w:rsidR="2F18AAA4">
        <w:t xml:space="preserve"> meet these </w:t>
      </w:r>
      <w:r w:rsidR="00754B2F">
        <w:t>goals</w:t>
      </w:r>
      <w:r w:rsidR="2F18AAA4">
        <w:t xml:space="preserve">, </w:t>
      </w:r>
      <w:r w:rsidR="0032474A">
        <w:t xml:space="preserve">the </w:t>
      </w:r>
      <w:r w:rsidR="2F18AAA4">
        <w:t xml:space="preserve">Victorian Government reporting requirements were </w:t>
      </w:r>
      <w:r w:rsidR="00754B2F">
        <w:t xml:space="preserve">updated </w:t>
      </w:r>
      <w:r w:rsidR="2F18AAA4">
        <w:t>to:</w:t>
      </w:r>
    </w:p>
    <w:p w14:paraId="49F96D61" w14:textId="3FA607E0" w:rsidR="004C2C1D" w:rsidRDefault="2F18AAA4" w:rsidP="004C2C1D">
      <w:pPr>
        <w:pStyle w:val="Bullet1"/>
      </w:pPr>
      <w:r>
        <w:t xml:space="preserve">measure the </w:t>
      </w:r>
      <w:r w:rsidR="00754B2F">
        <w:t xml:space="preserve">effect </w:t>
      </w:r>
      <w:r>
        <w:t>of actions to reduce emissions and improve</w:t>
      </w:r>
      <w:r w:rsidR="00754B2F">
        <w:t xml:space="preserve"> government entities’</w:t>
      </w:r>
      <w:r>
        <w:t xml:space="preserve"> environmental performance and management</w:t>
      </w:r>
    </w:p>
    <w:p w14:paraId="1828EA6A" w14:textId="36A4D59D" w:rsidR="00210D69" w:rsidRDefault="2F18AAA4" w:rsidP="004C2C1D">
      <w:pPr>
        <w:pStyle w:val="Bullet1"/>
      </w:pPr>
      <w:r>
        <w:t xml:space="preserve">provide transparency on public sector </w:t>
      </w:r>
      <w:r w:rsidR="00754B2F">
        <w:t xml:space="preserve">year-on-year </w:t>
      </w:r>
      <w:r>
        <w:t>performance on environmental indicators in organisations</w:t>
      </w:r>
    </w:p>
    <w:p w14:paraId="5CDF5AF1" w14:textId="062B1ED1" w:rsidR="00210D69" w:rsidRDefault="2F18AAA4" w:rsidP="72990A22">
      <w:pPr>
        <w:pStyle w:val="Bullet1"/>
      </w:pPr>
      <w:r>
        <w:t xml:space="preserve">support implementation of the </w:t>
      </w:r>
      <w:r w:rsidR="00754B2F">
        <w:t>whole-</w:t>
      </w:r>
      <w:r>
        <w:t>of</w:t>
      </w:r>
      <w:r w:rsidR="00754B2F">
        <w:t>-</w:t>
      </w:r>
      <w:r>
        <w:t>Victorian</w:t>
      </w:r>
      <w:r w:rsidR="00754B2F">
        <w:t>-</w:t>
      </w:r>
      <w:r>
        <w:t>Government emissions reduction pledge</w:t>
      </w:r>
    </w:p>
    <w:p w14:paraId="09B646C8" w14:textId="34389042" w:rsidR="00210D69" w:rsidRDefault="2F18AAA4" w:rsidP="72990A22">
      <w:pPr>
        <w:pStyle w:val="Bullet1"/>
      </w:pPr>
      <w:r>
        <w:t xml:space="preserve">support the </w:t>
      </w:r>
      <w:r w:rsidR="00754B2F">
        <w:t xml:space="preserve">government’s commitment of </w:t>
      </w:r>
      <w:r>
        <w:t>100</w:t>
      </w:r>
      <w:r w:rsidR="00754B2F">
        <w:t xml:space="preserve"> per cent</w:t>
      </w:r>
      <w:r>
        <w:t xml:space="preserve"> renewable electricity by 2025</w:t>
      </w:r>
    </w:p>
    <w:p w14:paraId="4B50FB01" w14:textId="2F86FD7D" w:rsidR="00210D69" w:rsidRDefault="2F18AAA4" w:rsidP="72990A22">
      <w:pPr>
        <w:pStyle w:val="Bullet1"/>
      </w:pPr>
      <w:r>
        <w:t>identify and manage government exposure to climate-related risks</w:t>
      </w:r>
    </w:p>
    <w:p w14:paraId="05796404" w14:textId="3FE5C2DC" w:rsidR="00210D69" w:rsidRDefault="2F18AAA4" w:rsidP="72990A22">
      <w:pPr>
        <w:pStyle w:val="Bullet1"/>
      </w:pPr>
      <w:r>
        <w:t>respond to public expectations and align with private sector leaders</w:t>
      </w:r>
    </w:p>
    <w:p w14:paraId="34F4C3E9" w14:textId="64C9EB14" w:rsidR="00EA02FC" w:rsidRDefault="00754B2F" w:rsidP="0070503A">
      <w:pPr>
        <w:pStyle w:val="Bullet1"/>
      </w:pPr>
      <w:r>
        <w:t xml:space="preserve">move </w:t>
      </w:r>
      <w:r w:rsidR="2F18AAA4" w:rsidRPr="007B4F70">
        <w:t>environmental</w:t>
      </w:r>
      <w:r w:rsidR="2F18AAA4">
        <w:t xml:space="preserve"> reporting requirements </w:t>
      </w:r>
      <w:r>
        <w:t xml:space="preserve">to </w:t>
      </w:r>
      <w:r w:rsidR="2F18AAA4">
        <w:t>the whole</w:t>
      </w:r>
      <w:r>
        <w:t>-</w:t>
      </w:r>
      <w:r w:rsidR="2F18AAA4">
        <w:t>of</w:t>
      </w:r>
      <w:r>
        <w:t>-</w:t>
      </w:r>
      <w:r w:rsidR="2F18AAA4">
        <w:t>government financial management framework and bring all government entities into alignment.</w:t>
      </w:r>
    </w:p>
    <w:p w14:paraId="09555B21" w14:textId="7C1DBA7B" w:rsidR="00EA02FC" w:rsidRDefault="347E9ED6" w:rsidP="0070503A">
      <w:pPr>
        <w:pStyle w:val="Bodyafterbullets"/>
      </w:pPr>
      <w:r>
        <w:t>F</w:t>
      </w:r>
      <w:r w:rsidR="00210D69">
        <w:t xml:space="preserve">rom 1 July 2022, </w:t>
      </w:r>
      <w:r w:rsidR="00C967D8">
        <w:t>the</w:t>
      </w:r>
      <w:r w:rsidR="00AC39CC">
        <w:t xml:space="preserve"> update</w:t>
      </w:r>
      <w:r w:rsidR="447FD6CF">
        <w:t xml:space="preserve">d </w:t>
      </w:r>
      <w:r w:rsidR="00B82245" w:rsidRPr="00DA2565">
        <w:rPr>
          <w:i/>
        </w:rPr>
        <w:t>Financial Reporting Direction 24</w:t>
      </w:r>
      <w:r w:rsidR="00C4414A" w:rsidRPr="00DA2565">
        <w:rPr>
          <w:i/>
        </w:rPr>
        <w:t>:</w:t>
      </w:r>
      <w:r w:rsidR="02DBCF3D" w:rsidRPr="00DA2565">
        <w:rPr>
          <w:i/>
        </w:rPr>
        <w:t xml:space="preserve"> Reporting of environmental data by government entities</w:t>
      </w:r>
      <w:r w:rsidR="00C967D8">
        <w:rPr>
          <w:iCs/>
        </w:rPr>
        <w:t xml:space="preserve"> (FRD 24)</w:t>
      </w:r>
      <w:r w:rsidR="00042189">
        <w:t xml:space="preserve"> </w:t>
      </w:r>
      <w:r w:rsidR="00C967D8">
        <w:t>substantially increased environmental reporting requirements. A</w:t>
      </w:r>
      <w:r w:rsidR="0039250F">
        <w:t xml:space="preserve">ll entities defined as either a public body or a department under section 3 of the </w:t>
      </w:r>
      <w:r w:rsidR="0039250F" w:rsidRPr="72990A22">
        <w:rPr>
          <w:i/>
          <w:iCs/>
        </w:rPr>
        <w:t>Financial Management Act 1994</w:t>
      </w:r>
      <w:r w:rsidR="00C967D8">
        <w:t xml:space="preserve"> must meet FRD 24’s environmental data reporting requirements</w:t>
      </w:r>
      <w:r w:rsidR="0039250F">
        <w:t>.</w:t>
      </w:r>
      <w:bookmarkStart w:id="17" w:name="_Hlk134109502"/>
    </w:p>
    <w:p w14:paraId="6B897E40" w14:textId="65766EBA" w:rsidR="00CE4973" w:rsidRDefault="00501766" w:rsidP="0008191C">
      <w:pPr>
        <w:pStyle w:val="Body"/>
      </w:pPr>
      <w:r>
        <w:t>FRD</w:t>
      </w:r>
      <w:r w:rsidR="0009787C" w:rsidRPr="0009787C">
        <w:t xml:space="preserve"> 24 specifies the environmental performance indicators that </w:t>
      </w:r>
      <w:r w:rsidR="00C967D8" w:rsidRPr="0009787C">
        <w:t xml:space="preserve">entities </w:t>
      </w:r>
      <w:r w:rsidR="0009787C" w:rsidRPr="0009787C">
        <w:t xml:space="preserve">must measure and report </w:t>
      </w:r>
      <w:r w:rsidR="005370FE">
        <w:t>in</w:t>
      </w:r>
      <w:r w:rsidR="0009787C" w:rsidRPr="0009787C">
        <w:t xml:space="preserve"> the</w:t>
      </w:r>
      <w:r w:rsidR="00C967D8">
        <w:t>ir</w:t>
      </w:r>
      <w:r w:rsidR="00EA47BE" w:rsidRPr="00EA47BE">
        <w:t xml:space="preserve"> </w:t>
      </w:r>
      <w:r w:rsidR="00C967D8" w:rsidRPr="00EA47BE">
        <w:t>annual report of operations</w:t>
      </w:r>
      <w:r w:rsidR="00E71291">
        <w:t xml:space="preserve"> </w:t>
      </w:r>
      <w:r w:rsidR="00FD2885">
        <w:t>(</w:t>
      </w:r>
      <w:r w:rsidR="00C967D8">
        <w:t xml:space="preserve">12 </w:t>
      </w:r>
      <w:r w:rsidR="00FD2885">
        <w:t>months of data)</w:t>
      </w:r>
      <w:r w:rsidR="005370FE">
        <w:t>,</w:t>
      </w:r>
      <w:r w:rsidR="00FD2885">
        <w:t xml:space="preserve"> </w:t>
      </w:r>
      <w:r w:rsidR="005370FE">
        <w:t>including</w:t>
      </w:r>
      <w:r w:rsidR="00EA47BE" w:rsidRPr="00EA47BE">
        <w:t xml:space="preserve"> aspects of energy and resource consumption and environmental performanc</w:t>
      </w:r>
      <w:r w:rsidR="000326D1">
        <w:t>e.</w:t>
      </w:r>
    </w:p>
    <w:bookmarkEnd w:id="17"/>
    <w:p w14:paraId="6F5312F9" w14:textId="683BBD54" w:rsidR="00337D3C" w:rsidRDefault="00C967D8" w:rsidP="00595C5F">
      <w:pPr>
        <w:pStyle w:val="Body"/>
      </w:pPr>
      <w:r>
        <w:t>U</w:t>
      </w:r>
      <w:r w:rsidR="00C853D7" w:rsidRPr="0053781C">
        <w:t xml:space="preserve">nder the </w:t>
      </w:r>
      <w:r w:rsidR="00C853D7" w:rsidRPr="00C853D7">
        <w:rPr>
          <w:i/>
          <w:iCs/>
        </w:rPr>
        <w:t>Health Services Act 1988</w:t>
      </w:r>
      <w:r>
        <w:t xml:space="preserve">, </w:t>
      </w:r>
      <w:r w:rsidRPr="0053781C">
        <w:t xml:space="preserve">denominational health services </w:t>
      </w:r>
      <w:r>
        <w:t>must</w:t>
      </w:r>
      <w:r w:rsidRPr="0053781C">
        <w:t xml:space="preserve"> </w:t>
      </w:r>
      <w:r>
        <w:t>meet</w:t>
      </w:r>
      <w:r w:rsidRPr="0053781C">
        <w:t xml:space="preserve"> </w:t>
      </w:r>
      <w:r w:rsidR="00C853D7" w:rsidRPr="0053781C">
        <w:t>FRD 24 reporting requirements from the 2023</w:t>
      </w:r>
      <w:r w:rsidR="00652150">
        <w:t>-</w:t>
      </w:r>
      <w:r>
        <w:t>20</w:t>
      </w:r>
      <w:r w:rsidR="00C853D7" w:rsidRPr="0053781C">
        <w:t>24 reporting</w:t>
      </w:r>
      <w:r w:rsidR="00C853D7">
        <w:t xml:space="preserve"> year</w:t>
      </w:r>
      <w:r w:rsidR="00C853D7" w:rsidRPr="0053781C">
        <w:t>.</w:t>
      </w:r>
    </w:p>
    <w:p w14:paraId="7E691845" w14:textId="2238870E" w:rsidR="00735B6F" w:rsidRDefault="00EA1479" w:rsidP="005A5969">
      <w:pPr>
        <w:pStyle w:val="Heading2"/>
        <w:numPr>
          <w:ilvl w:val="1"/>
          <w:numId w:val="91"/>
        </w:numPr>
      </w:pPr>
      <w:bookmarkStart w:id="18" w:name="_Toc138239104"/>
      <w:r>
        <w:t>Reporting tiers</w:t>
      </w:r>
      <w:bookmarkEnd w:id="18"/>
    </w:p>
    <w:p w14:paraId="37E41039" w14:textId="3B8B30D8" w:rsidR="002916E7" w:rsidRDefault="00026899" w:rsidP="00D67486">
      <w:pPr>
        <w:pStyle w:val="Body"/>
      </w:pPr>
      <w:r w:rsidRPr="00026899">
        <w:t>Public entities have been classified into reporting ‘</w:t>
      </w:r>
      <w:r w:rsidR="00652150">
        <w:t>t</w:t>
      </w:r>
      <w:r w:rsidRPr="00026899">
        <w:t xml:space="preserve">iers’ for </w:t>
      </w:r>
      <w:r w:rsidR="005370FE">
        <w:t>the purposes of</w:t>
      </w:r>
      <w:r w:rsidRPr="00026899">
        <w:t xml:space="preserve"> FRD 24</w:t>
      </w:r>
      <w:r w:rsidR="00E13163">
        <w:t xml:space="preserve">. This is to </w:t>
      </w:r>
      <w:r w:rsidRPr="00026899">
        <w:t>recogni</w:t>
      </w:r>
      <w:r w:rsidR="005370FE">
        <w:t>se</w:t>
      </w:r>
      <w:r w:rsidRPr="00026899">
        <w:t xml:space="preserve"> </w:t>
      </w:r>
      <w:r w:rsidR="005370FE">
        <w:t>the</w:t>
      </w:r>
      <w:r w:rsidR="00091319">
        <w:t xml:space="preserve"> </w:t>
      </w:r>
      <w:r w:rsidR="00C967D8">
        <w:t>large</w:t>
      </w:r>
      <w:r w:rsidR="00C967D8" w:rsidRPr="00026899">
        <w:t xml:space="preserve"> </w:t>
      </w:r>
      <w:r w:rsidRPr="00026899">
        <w:t xml:space="preserve">variety in size, environmental impact and capability of public entities to report on environmental data. </w:t>
      </w:r>
    </w:p>
    <w:p w14:paraId="0B8D2AC9" w14:textId="4BAC601A" w:rsidR="005275D6" w:rsidRPr="00FE4A08" w:rsidRDefault="00026899" w:rsidP="00FE4A08">
      <w:pPr>
        <w:pStyle w:val="Body"/>
      </w:pPr>
      <w:r w:rsidRPr="00026899">
        <w:t xml:space="preserve">Each tier </w:t>
      </w:r>
      <w:r w:rsidR="00C967D8">
        <w:t>has</w:t>
      </w:r>
      <w:r w:rsidRPr="00026899">
        <w:t xml:space="preserve"> different disclosure requirements.</w:t>
      </w:r>
    </w:p>
    <w:p w14:paraId="00476379" w14:textId="2508D06D" w:rsidR="007A6AA6" w:rsidRDefault="00DD0F75" w:rsidP="00496AFF">
      <w:pPr>
        <w:pStyle w:val="Body"/>
      </w:pPr>
      <w:r>
        <w:t xml:space="preserve">Most public </w:t>
      </w:r>
      <w:r w:rsidR="009A4A6C">
        <w:t xml:space="preserve">health services </w:t>
      </w:r>
      <w:r>
        <w:t xml:space="preserve">are </w:t>
      </w:r>
      <w:r w:rsidR="009A4A6C">
        <w:t xml:space="preserve">in </w:t>
      </w:r>
      <w:r w:rsidR="00950DB5">
        <w:t>T</w:t>
      </w:r>
      <w:r>
        <w:t xml:space="preserve">iers </w:t>
      </w:r>
      <w:r w:rsidR="009A4A6C">
        <w:t>2 and 3a.</w:t>
      </w:r>
      <w:r>
        <w:t xml:space="preserve"> Lists of entities and services in each tier are in</w:t>
      </w:r>
      <w:r w:rsidR="009A4A6C">
        <w:t xml:space="preserve"> </w:t>
      </w:r>
      <w:r w:rsidRPr="00F0289E">
        <w:rPr>
          <w:b/>
          <w:bCs/>
          <w:u w:val="single"/>
        </w:rPr>
        <w:fldChar w:fldCharType="begin"/>
      </w:r>
      <w:r w:rsidRPr="00496AFF">
        <w:rPr>
          <w:b/>
          <w:bCs/>
          <w:u w:val="single"/>
        </w:rPr>
        <w:instrText xml:space="preserve"> REF _Ref137632103 \h </w:instrText>
      </w:r>
      <w:r w:rsidRPr="00F0289E">
        <w:rPr>
          <w:b/>
          <w:bCs/>
          <w:u w:val="single"/>
        </w:rPr>
        <w:instrText xml:space="preserve"> \* MERGEFORMAT </w:instrText>
      </w:r>
      <w:r w:rsidRPr="00F0289E">
        <w:rPr>
          <w:b/>
          <w:bCs/>
          <w:u w:val="single"/>
        </w:rPr>
      </w:r>
      <w:r w:rsidRPr="00F0289E">
        <w:rPr>
          <w:b/>
          <w:bCs/>
          <w:u w:val="single"/>
        </w:rPr>
        <w:fldChar w:fldCharType="separate"/>
      </w:r>
      <w:r w:rsidR="00C52465" w:rsidRPr="008037D1">
        <w:rPr>
          <w:b/>
          <w:bCs/>
          <w:u w:val="single"/>
        </w:rPr>
        <w:t xml:space="preserve">Appendix B: Reporting tiers </w:t>
      </w:r>
      <w:r w:rsidR="00C52465" w:rsidRPr="008037D1" w:rsidDel="00496AFF">
        <w:rPr>
          <w:b/>
          <w:bCs/>
          <w:u w:val="single"/>
        </w:rPr>
        <w:t xml:space="preserve">of </w:t>
      </w:r>
      <w:r w:rsidR="00C52465" w:rsidRPr="008037D1">
        <w:rPr>
          <w:b/>
          <w:bCs/>
          <w:u w:val="single"/>
        </w:rPr>
        <w:t xml:space="preserve">for Victorian public hospitals, health services and </w:t>
      </w:r>
      <w:r w:rsidR="00C52465" w:rsidRPr="008037D1" w:rsidDel="006772CA">
        <w:rPr>
          <w:b/>
          <w:bCs/>
          <w:u w:val="single"/>
        </w:rPr>
        <w:t xml:space="preserve">other </w:t>
      </w:r>
      <w:r w:rsidR="00C52465" w:rsidRPr="008037D1">
        <w:rPr>
          <w:b/>
          <w:bCs/>
          <w:u w:val="single"/>
        </w:rPr>
        <w:t>Department of Health portfolio entities</w:t>
      </w:r>
      <w:r w:rsidRPr="00F0289E">
        <w:rPr>
          <w:b/>
          <w:bCs/>
          <w:u w:val="single"/>
        </w:rPr>
        <w:fldChar w:fldCharType="end"/>
      </w:r>
      <w:r>
        <w:t>.</w:t>
      </w:r>
    </w:p>
    <w:p w14:paraId="4AF58C69" w14:textId="589D2486" w:rsidR="009E1119" w:rsidRDefault="00ED64FE" w:rsidP="00D67486">
      <w:pPr>
        <w:pStyle w:val="Body"/>
      </w:pPr>
      <w:r>
        <w:t xml:space="preserve">Tier 4 entities </w:t>
      </w:r>
      <w:r w:rsidR="00DD0F75">
        <w:t xml:space="preserve">should </w:t>
      </w:r>
      <w:r>
        <w:t xml:space="preserve">review the </w:t>
      </w:r>
      <w:hyperlink w:anchor="_2.10._Simple_disclosure" w:history="1">
        <w:r w:rsidR="00DD0F75" w:rsidRPr="00BA2EBB">
          <w:rPr>
            <w:rStyle w:val="Hyperlink"/>
            <w:b/>
            <w:bCs/>
            <w:u w:val="single"/>
          </w:rPr>
          <w:fldChar w:fldCharType="begin"/>
        </w:r>
        <w:r w:rsidR="00DD0F75" w:rsidRPr="00BA2EBB">
          <w:rPr>
            <w:b/>
            <w:bCs/>
            <w:u w:val="single"/>
          </w:rPr>
          <w:instrText xml:space="preserve"> REF _Ref137632395 \h </w:instrText>
        </w:r>
        <w:r w:rsidR="00DD0F75" w:rsidRPr="00BA2EBB">
          <w:rPr>
            <w:rStyle w:val="Hyperlink"/>
            <w:b/>
            <w:bCs/>
            <w:u w:val="single"/>
          </w:rPr>
          <w:instrText xml:space="preserve"> \* MERGEFORMAT </w:instrText>
        </w:r>
        <w:r w:rsidR="00DD0F75" w:rsidRPr="00BA2EBB">
          <w:rPr>
            <w:rStyle w:val="Hyperlink"/>
            <w:b/>
            <w:bCs/>
            <w:u w:val="single"/>
          </w:rPr>
        </w:r>
        <w:r w:rsidR="00DD0F75" w:rsidRPr="00BA2EBB">
          <w:rPr>
            <w:rStyle w:val="Hyperlink"/>
            <w:b/>
            <w:bCs/>
            <w:u w:val="single"/>
          </w:rPr>
          <w:fldChar w:fldCharType="separate"/>
        </w:r>
        <w:r w:rsidR="00C52465" w:rsidRPr="00BA2EBB">
          <w:rPr>
            <w:b/>
            <w:bCs/>
            <w:u w:val="single"/>
          </w:rPr>
          <w:t>Simple disclosure (Tier 4 entities)</w:t>
        </w:r>
        <w:r w:rsidR="00DD0F75" w:rsidRPr="00BA2EBB">
          <w:rPr>
            <w:rStyle w:val="Hyperlink"/>
            <w:b/>
            <w:bCs/>
            <w:u w:val="single"/>
          </w:rPr>
          <w:fldChar w:fldCharType="end"/>
        </w:r>
      </w:hyperlink>
      <w:r>
        <w:t xml:space="preserve"> section of these guidelines. </w:t>
      </w:r>
      <w:r w:rsidR="004B1C8A">
        <w:t xml:space="preserve">Health services are </w:t>
      </w:r>
      <w:r w:rsidR="006B1B06">
        <w:t>encouraged</w:t>
      </w:r>
      <w:r w:rsidR="004B1C8A">
        <w:t xml:space="preserve"> to report on </w:t>
      </w:r>
      <w:r w:rsidR="00DD0F75">
        <w:t xml:space="preserve">more </w:t>
      </w:r>
      <w:r w:rsidR="004B1C8A">
        <w:t>indicators</w:t>
      </w:r>
      <w:r w:rsidR="00DD0F75">
        <w:t xml:space="preserve"> than the mandatory indicators</w:t>
      </w:r>
      <w:r w:rsidR="00201D52">
        <w:t xml:space="preserve">. </w:t>
      </w:r>
      <w:r w:rsidR="00DD0F75" w:rsidRPr="00BA2EBB">
        <w:rPr>
          <w:b/>
          <w:bCs/>
        </w:rPr>
        <w:t>Note</w:t>
      </w:r>
      <w:r w:rsidR="00DD0F75">
        <w:t>:</w:t>
      </w:r>
      <w:r w:rsidR="00201D52">
        <w:t xml:space="preserve"> o</w:t>
      </w:r>
      <w:r w:rsidR="00201D52" w:rsidRPr="00201D52">
        <w:t xml:space="preserve">nce an additional metric is reported, </w:t>
      </w:r>
      <w:r w:rsidR="009702E4">
        <w:t>entities</w:t>
      </w:r>
      <w:r w:rsidR="00201D52" w:rsidRPr="00201D52">
        <w:t xml:space="preserve"> </w:t>
      </w:r>
      <w:r w:rsidR="00DD0F75">
        <w:t xml:space="preserve">may be </w:t>
      </w:r>
      <w:r w:rsidR="00201D52" w:rsidRPr="00201D52">
        <w:t>expect</w:t>
      </w:r>
      <w:r w:rsidR="009702E4">
        <w:t>ed</w:t>
      </w:r>
      <w:r w:rsidR="00201D52" w:rsidRPr="00201D52">
        <w:t xml:space="preserve"> </w:t>
      </w:r>
      <w:r w:rsidR="009702E4">
        <w:t xml:space="preserve">to </w:t>
      </w:r>
      <w:r w:rsidR="00201D52" w:rsidRPr="00201D52">
        <w:t>report</w:t>
      </w:r>
      <w:r w:rsidR="009702E4">
        <w:t xml:space="preserve"> it</w:t>
      </w:r>
      <w:r w:rsidR="00201D52" w:rsidRPr="00201D52">
        <w:t xml:space="preserve"> on an ongoing basis.</w:t>
      </w:r>
    </w:p>
    <w:p w14:paraId="4034B460" w14:textId="7C46BBEB" w:rsidR="00B8246E" w:rsidRDefault="00DD0F75" w:rsidP="00D67486">
      <w:pPr>
        <w:pStyle w:val="Body"/>
      </w:pPr>
      <w:r>
        <w:t xml:space="preserve">The Department of Energy, Environment and Climate Action (DEECA) has more </w:t>
      </w:r>
      <w:r w:rsidR="00B8246E">
        <w:t>information</w:t>
      </w:r>
      <w:r w:rsidR="003A63DB">
        <w:t>,</w:t>
      </w:r>
      <w:r w:rsidR="00B8246E">
        <w:t xml:space="preserve"> </w:t>
      </w:r>
      <w:r w:rsidR="003A63DB">
        <w:t xml:space="preserve">including </w:t>
      </w:r>
      <w:r w:rsidR="004D3D03">
        <w:t xml:space="preserve">a </w:t>
      </w:r>
      <w:r w:rsidR="00102DE0">
        <w:t>whole-of-government list of</w:t>
      </w:r>
      <w:r w:rsidR="004D3D03">
        <w:t xml:space="preserve"> </w:t>
      </w:r>
      <w:r w:rsidR="00511F1A">
        <w:t>FRD 24 tiers</w:t>
      </w:r>
      <w:r w:rsidR="003A63DB">
        <w:t>.</w:t>
      </w:r>
      <w:r w:rsidR="00B8246E">
        <w:t xml:space="preserve"> </w:t>
      </w:r>
      <w:r w:rsidR="003A63DB">
        <w:t>See</w:t>
      </w:r>
      <w:r w:rsidR="00B8246E">
        <w:t xml:space="preserve"> </w:t>
      </w:r>
      <w:hyperlink r:id="rId15" w:history="1">
        <w:r w:rsidR="003A63DB">
          <w:rPr>
            <w:rStyle w:val="Hyperlink"/>
          </w:rPr>
          <w:t>DEECA's Government environmental reporting web page</w:t>
        </w:r>
      </w:hyperlink>
      <w:r w:rsidR="00B8246E">
        <w:t xml:space="preserve"> &lt;</w:t>
      </w:r>
      <w:r w:rsidR="00B8246E" w:rsidRPr="007E5024">
        <w:t>https://www.climatechange.vic.gov.au/victorian-government-action-on-climate-change/government-environmental-reporting</w:t>
      </w:r>
      <w:r w:rsidR="00B8246E">
        <w:t>&gt;.</w:t>
      </w:r>
    </w:p>
    <w:p w14:paraId="20C49C91" w14:textId="18C8E604" w:rsidR="00E6541B" w:rsidRDefault="00142B7A" w:rsidP="00BA6529">
      <w:pPr>
        <w:pStyle w:val="Heading2"/>
        <w:numPr>
          <w:ilvl w:val="1"/>
          <w:numId w:val="91"/>
        </w:numPr>
      </w:pPr>
      <w:bookmarkStart w:id="19" w:name="_Toc138239105"/>
      <w:r>
        <w:t>O</w:t>
      </w:r>
      <w:r w:rsidR="00E6541B">
        <w:t>rganisational</w:t>
      </w:r>
      <w:r>
        <w:t xml:space="preserve"> boundary</w:t>
      </w:r>
      <w:bookmarkEnd w:id="19"/>
    </w:p>
    <w:p w14:paraId="237EC415" w14:textId="2497AA80" w:rsidR="00B8763B" w:rsidRDefault="007419E2" w:rsidP="00BA6529">
      <w:pPr>
        <w:pStyle w:val="Body"/>
      </w:pPr>
      <w:r>
        <w:t>R</w:t>
      </w:r>
      <w:r w:rsidR="00E07B85">
        <w:t xml:space="preserve">eporting entities </w:t>
      </w:r>
      <w:r w:rsidR="00641A66">
        <w:t xml:space="preserve">must </w:t>
      </w:r>
      <w:r>
        <w:t xml:space="preserve">assess </w:t>
      </w:r>
      <w:r w:rsidR="00B8763B">
        <w:t xml:space="preserve">the operations, activities and facilities in </w:t>
      </w:r>
      <w:r>
        <w:t xml:space="preserve">their organisational </w:t>
      </w:r>
      <w:r w:rsidR="00B8763B">
        <w:t>boundary.</w:t>
      </w:r>
    </w:p>
    <w:p w14:paraId="704B7F39" w14:textId="77777777" w:rsidR="0033055B" w:rsidRDefault="0033055B" w:rsidP="00BA6529">
      <w:pPr>
        <w:pStyle w:val="Body"/>
      </w:pPr>
      <w:r>
        <w:t>Organisational boundary must include:</w:t>
      </w:r>
    </w:p>
    <w:p w14:paraId="1661A08E" w14:textId="307E8400" w:rsidR="008A748D" w:rsidRPr="008A748D" w:rsidRDefault="008A748D" w:rsidP="008A748D">
      <w:pPr>
        <w:pStyle w:val="Bullet1"/>
      </w:pPr>
      <w:bookmarkStart w:id="20" w:name="_Hlk136861613"/>
      <w:r w:rsidRPr="008A748D">
        <w:t>all of the entity</w:t>
      </w:r>
      <w:r w:rsidR="00DA5550">
        <w:t>’s</w:t>
      </w:r>
      <w:r w:rsidR="00DA5550" w:rsidRPr="00DA5550">
        <w:t xml:space="preserve"> </w:t>
      </w:r>
      <w:r w:rsidR="00DA5550" w:rsidRPr="008A748D">
        <w:t>operations</w:t>
      </w:r>
    </w:p>
    <w:p w14:paraId="3A592328" w14:textId="48C61104" w:rsidR="008A748D" w:rsidRPr="008A748D" w:rsidRDefault="008A748D" w:rsidP="008A748D">
      <w:pPr>
        <w:pStyle w:val="Bullet1"/>
      </w:pPr>
      <w:r w:rsidRPr="008A748D">
        <w:t xml:space="preserve">the operations of any other public sector entity hosted entirely within the entity’s facilities (where the entities </w:t>
      </w:r>
      <w:r w:rsidR="00DA5550">
        <w:t>agree to</w:t>
      </w:r>
      <w:r w:rsidRPr="008A748D">
        <w:t xml:space="preserve"> report these operations)</w:t>
      </w:r>
    </w:p>
    <w:p w14:paraId="08A67885" w14:textId="727D67F3" w:rsidR="008A748D" w:rsidRPr="008A748D" w:rsidRDefault="008A748D" w:rsidP="008A748D">
      <w:pPr>
        <w:pStyle w:val="Bullet1"/>
      </w:pPr>
      <w:r w:rsidRPr="008A748D">
        <w:t xml:space="preserve">operations of any public asset by a private </w:t>
      </w:r>
      <w:r w:rsidR="00B406AA">
        <w:t>organisation</w:t>
      </w:r>
      <w:r w:rsidR="00B406AA" w:rsidRPr="008A748D">
        <w:t xml:space="preserve"> </w:t>
      </w:r>
      <w:r w:rsidR="00B406AA">
        <w:t>if</w:t>
      </w:r>
      <w:r w:rsidR="00B406AA" w:rsidRPr="008A748D">
        <w:t xml:space="preserve"> </w:t>
      </w:r>
      <w:r w:rsidRPr="008A748D">
        <w:t xml:space="preserve">the environmental impacts of those assets are in the operational control of the entity. Only </w:t>
      </w:r>
      <w:r w:rsidR="00B406AA">
        <w:t xml:space="preserve">consider </w:t>
      </w:r>
      <w:r w:rsidRPr="008A748D">
        <w:t>activities associated with asset operations</w:t>
      </w:r>
      <w:r w:rsidR="00DA5550">
        <w:t>.</w:t>
      </w:r>
      <w:r w:rsidRPr="008A748D">
        <w:t xml:space="preserve"> </w:t>
      </w:r>
      <w:r w:rsidR="00DA5550">
        <w:t>Do</w:t>
      </w:r>
      <w:r w:rsidR="00DA5550" w:rsidRPr="008A748D">
        <w:t xml:space="preserve"> </w:t>
      </w:r>
      <w:r w:rsidRPr="008A748D">
        <w:t xml:space="preserve">not </w:t>
      </w:r>
      <w:r w:rsidR="00DA5550">
        <w:t>include activities</w:t>
      </w:r>
      <w:r w:rsidR="00DA5550" w:rsidRPr="008A748D">
        <w:t xml:space="preserve"> </w:t>
      </w:r>
      <w:r w:rsidRPr="008A748D">
        <w:t>from office or other corporate facilities that are not part of a service concession or lease.</w:t>
      </w:r>
    </w:p>
    <w:p w14:paraId="2981C437" w14:textId="1BC03686" w:rsidR="00DC1B55" w:rsidRDefault="00DC1B55" w:rsidP="004A2979">
      <w:pPr>
        <w:pStyle w:val="Bodyafterbullets"/>
      </w:pPr>
      <w:r>
        <w:t xml:space="preserve">In some </w:t>
      </w:r>
      <w:r w:rsidR="00FD5ED2">
        <w:t>instances,</w:t>
      </w:r>
      <w:r w:rsidR="0008472E">
        <w:t xml:space="preserve"> public hospitals </w:t>
      </w:r>
      <w:r w:rsidR="00246437">
        <w:t>will have private concessions</w:t>
      </w:r>
      <w:r w:rsidR="000A20F4">
        <w:t xml:space="preserve"> operating in their facilities</w:t>
      </w:r>
      <w:r w:rsidR="00246437">
        <w:t>, such as post offices, cafes</w:t>
      </w:r>
      <w:r w:rsidR="00FD5ED2">
        <w:t xml:space="preserve"> or shops. </w:t>
      </w:r>
      <w:r w:rsidR="000A20F4">
        <w:t>T</w:t>
      </w:r>
      <w:r w:rsidR="00FD5ED2">
        <w:t xml:space="preserve">hese </w:t>
      </w:r>
      <w:r w:rsidR="000A20F4">
        <w:t xml:space="preserve">may </w:t>
      </w:r>
      <w:r w:rsidR="00FD5ED2">
        <w:t>b</w:t>
      </w:r>
      <w:r w:rsidR="00C0256E">
        <w:t xml:space="preserve">e </w:t>
      </w:r>
      <w:r w:rsidR="000A20F4">
        <w:t xml:space="preserve">considered </w:t>
      </w:r>
      <w:r w:rsidR="00C0256E">
        <w:t xml:space="preserve">to </w:t>
      </w:r>
      <w:r w:rsidR="000A20F4">
        <w:t xml:space="preserve">be </w:t>
      </w:r>
      <w:r w:rsidR="00C0256E">
        <w:t xml:space="preserve">outside the public </w:t>
      </w:r>
      <w:r w:rsidR="002C0834">
        <w:t>entity’s</w:t>
      </w:r>
      <w:r w:rsidR="00C0256E">
        <w:t xml:space="preserve"> organisational boundary</w:t>
      </w:r>
      <w:r w:rsidR="000A20F4">
        <w:t>. However,</w:t>
      </w:r>
      <w:r w:rsidR="00C0256E">
        <w:t xml:space="preserve"> it may not always be possible or efficient to exclude</w:t>
      </w:r>
      <w:r w:rsidR="006C648C">
        <w:t xml:space="preserve"> their resource use due to</w:t>
      </w:r>
      <w:r w:rsidR="005A1238">
        <w:t xml:space="preserve"> the</w:t>
      </w:r>
      <w:r w:rsidR="000A20F4">
        <w:t xml:space="preserve"> data</w:t>
      </w:r>
      <w:r w:rsidR="005A1238">
        <w:t xml:space="preserve"> availab</w:t>
      </w:r>
      <w:r w:rsidR="000A20F4">
        <w:t>le</w:t>
      </w:r>
      <w:r w:rsidR="006C648C">
        <w:t>.</w:t>
      </w:r>
      <w:r w:rsidR="00FB6080">
        <w:t xml:space="preserve"> </w:t>
      </w:r>
      <w:r w:rsidR="00FB6080" w:rsidRPr="00FB6080">
        <w:t>In these circumstances</w:t>
      </w:r>
      <w:r w:rsidR="00D15293">
        <w:t>,</w:t>
      </w:r>
      <w:r w:rsidR="00FB6080" w:rsidRPr="00FB6080">
        <w:t xml:space="preserve"> the reporting entity should </w:t>
      </w:r>
      <w:r w:rsidR="000A20F4">
        <w:t>note</w:t>
      </w:r>
      <w:r w:rsidR="00FB6080" w:rsidRPr="00FB6080">
        <w:t xml:space="preserve"> </w:t>
      </w:r>
      <w:r w:rsidR="000A20F4">
        <w:t>(</w:t>
      </w:r>
      <w:r w:rsidR="00D15293">
        <w:t>for example,</w:t>
      </w:r>
      <w:r w:rsidR="00FB6080" w:rsidRPr="00FB6080">
        <w:t xml:space="preserve"> in footnotes of relevant tables</w:t>
      </w:r>
      <w:r w:rsidR="000A20F4">
        <w:t>)</w:t>
      </w:r>
      <w:r w:rsidR="00FB6080" w:rsidRPr="00FB6080">
        <w:t xml:space="preserve"> that some activities outside the organisational boundary have been included in the data</w:t>
      </w:r>
      <w:r w:rsidR="00BB3B06">
        <w:t>.</w:t>
      </w:r>
    </w:p>
    <w:bookmarkEnd w:id="20"/>
    <w:p w14:paraId="37CCF95D" w14:textId="12C4D5CD" w:rsidR="00F82DFC" w:rsidRDefault="00BC0393" w:rsidP="00715810">
      <w:pPr>
        <w:pStyle w:val="Body"/>
      </w:pPr>
      <w:r>
        <w:t xml:space="preserve">Reporting </w:t>
      </w:r>
      <w:r w:rsidR="00F82DFC">
        <w:t xml:space="preserve">entities </w:t>
      </w:r>
      <w:r w:rsidR="00F60577">
        <w:t xml:space="preserve">should </w:t>
      </w:r>
      <w:r w:rsidR="00F82DFC">
        <w:t>disclose their organisational boundary when reporting.</w:t>
      </w:r>
    </w:p>
    <w:p w14:paraId="1CCE84A9" w14:textId="5B373A96" w:rsidR="00BE5867" w:rsidRDefault="000A20F4">
      <w:pPr>
        <w:pStyle w:val="Body"/>
        <w:rPr>
          <w:lang w:val="en-US"/>
        </w:rPr>
      </w:pPr>
      <w:r>
        <w:t xml:space="preserve">More </w:t>
      </w:r>
      <w:r w:rsidR="005329AF">
        <w:t>information on operational control, machinery of government changes and general tips</w:t>
      </w:r>
      <w:r>
        <w:t xml:space="preserve"> are in </w:t>
      </w:r>
      <w:r w:rsidRPr="00715810">
        <w:rPr>
          <w:b/>
          <w:bCs/>
          <w:u w:val="single"/>
        </w:rPr>
        <w:fldChar w:fldCharType="begin"/>
      </w:r>
      <w:r w:rsidRPr="00715810">
        <w:rPr>
          <w:b/>
          <w:bCs/>
          <w:u w:val="single"/>
        </w:rPr>
        <w:instrText xml:space="preserve"> REF _Ref137633581 \h  \* MERGEFORMAT </w:instrText>
      </w:r>
      <w:r w:rsidRPr="00715810">
        <w:rPr>
          <w:b/>
          <w:bCs/>
          <w:u w:val="single"/>
        </w:rPr>
      </w:r>
      <w:r w:rsidRPr="00715810">
        <w:rPr>
          <w:b/>
          <w:bCs/>
          <w:u w:val="single"/>
        </w:rPr>
        <w:fldChar w:fldCharType="separate"/>
      </w:r>
      <w:r w:rsidR="00C52465" w:rsidRPr="00715810">
        <w:rPr>
          <w:b/>
          <w:bCs/>
          <w:u w:val="single"/>
        </w:rPr>
        <w:t>Appendix C: Organisational boundary</w:t>
      </w:r>
      <w:r w:rsidRPr="00715810">
        <w:rPr>
          <w:b/>
          <w:bCs/>
          <w:u w:val="single"/>
        </w:rPr>
        <w:fldChar w:fldCharType="end"/>
      </w:r>
      <w:r w:rsidR="005329AF">
        <w:t xml:space="preserve">. </w:t>
      </w:r>
      <w:r w:rsidR="00F9387A" w:rsidRPr="00315F6A">
        <w:t xml:space="preserve">Comprehensive </w:t>
      </w:r>
      <w:r>
        <w:t>advice</w:t>
      </w:r>
      <w:r w:rsidRPr="00315F6A">
        <w:t xml:space="preserve"> </w:t>
      </w:r>
      <w:r>
        <w:t>is available in the</w:t>
      </w:r>
      <w:r w:rsidR="00F9387A">
        <w:t xml:space="preserve"> ‘</w:t>
      </w:r>
      <w:r w:rsidR="00FA02FA">
        <w:t>O</w:t>
      </w:r>
      <w:r w:rsidR="00F9387A">
        <w:t xml:space="preserve">rganisational boundary’ </w:t>
      </w:r>
      <w:r w:rsidR="00F9387A" w:rsidRPr="007B4F70">
        <w:t>section</w:t>
      </w:r>
      <w:r w:rsidR="00F9387A" w:rsidRPr="00315F6A">
        <w:t xml:space="preserve"> </w:t>
      </w:r>
      <w:r>
        <w:t xml:space="preserve">of </w:t>
      </w:r>
      <w:r w:rsidR="00BE5867">
        <w:t>FRD 24.</w:t>
      </w:r>
      <w:r>
        <w:rPr>
          <w:lang w:val="en-US"/>
        </w:rPr>
        <w:t xml:space="preserve"> </w:t>
      </w:r>
    </w:p>
    <w:p w14:paraId="20B34B64" w14:textId="58AE6C9C" w:rsidR="00F9387A" w:rsidRDefault="00BE5867" w:rsidP="00715810">
      <w:pPr>
        <w:pStyle w:val="Body"/>
      </w:pPr>
      <w:r>
        <w:rPr>
          <w:lang w:val="en-US"/>
        </w:rPr>
        <w:t xml:space="preserve">FRD 24 </w:t>
      </w:r>
      <w:r w:rsidR="000A20F4">
        <w:rPr>
          <w:lang w:val="en-US"/>
        </w:rPr>
        <w:t xml:space="preserve">is available on </w:t>
      </w:r>
      <w:hyperlink r:id="rId16" w:history="1">
        <w:r w:rsidR="000A20F4">
          <w:rPr>
            <w:rStyle w:val="Hyperlink"/>
          </w:rPr>
          <w:t>DEECA</w:t>
        </w:r>
        <w:r>
          <w:rPr>
            <w:rStyle w:val="Hyperlink"/>
          </w:rPr>
          <w:t>’</w:t>
        </w:r>
        <w:r w:rsidR="000A20F4">
          <w:rPr>
            <w:rStyle w:val="Hyperlink"/>
          </w:rPr>
          <w:t>s Government environmental reporting web page</w:t>
        </w:r>
      </w:hyperlink>
      <w:r w:rsidR="00F9387A">
        <w:rPr>
          <w:lang w:val="en-US"/>
        </w:rPr>
        <w:t xml:space="preserve"> &lt;</w:t>
      </w:r>
      <w:r w:rsidR="00F9387A" w:rsidRPr="00E929A0">
        <w:rPr>
          <w:lang w:val="en-US"/>
        </w:rPr>
        <w:t>https://www.climatechange.vic.gov.au/victorian-government-action-on-climate-change/government-environmental-reporting</w:t>
      </w:r>
      <w:r w:rsidR="00F9387A">
        <w:rPr>
          <w:lang w:val="en-US"/>
        </w:rPr>
        <w:t xml:space="preserve">&gt;. </w:t>
      </w:r>
    </w:p>
    <w:p w14:paraId="0BF8E888" w14:textId="451D1C88" w:rsidR="00B07296" w:rsidRDefault="00B07296" w:rsidP="00DC08D9">
      <w:pPr>
        <w:pStyle w:val="Heading2"/>
        <w:numPr>
          <w:ilvl w:val="1"/>
          <w:numId w:val="91"/>
        </w:numPr>
      </w:pPr>
      <w:bookmarkStart w:id="21" w:name="_Ref137635406"/>
      <w:bookmarkStart w:id="22" w:name="_Ref137635416"/>
      <w:bookmarkStart w:id="23" w:name="_Toc138239106"/>
      <w:r>
        <w:t>Materiality</w:t>
      </w:r>
      <w:bookmarkEnd w:id="21"/>
      <w:bookmarkEnd w:id="22"/>
      <w:bookmarkEnd w:id="23"/>
    </w:p>
    <w:p w14:paraId="7AF6E1E4" w14:textId="30932754" w:rsidR="003840D4" w:rsidRDefault="004A44CC" w:rsidP="00B07296">
      <w:pPr>
        <w:pStyle w:val="Body"/>
      </w:pPr>
      <w:r w:rsidRPr="004A44CC">
        <w:t xml:space="preserve">Some facilities and activities will be very small </w:t>
      </w:r>
      <w:r w:rsidR="00AB7908">
        <w:t>in size</w:t>
      </w:r>
      <w:r w:rsidR="000A20F4">
        <w:t>.</w:t>
      </w:r>
      <w:r w:rsidR="00AB7908">
        <w:t xml:space="preserve"> </w:t>
      </w:r>
      <w:r w:rsidR="000A20F4">
        <w:t>C</w:t>
      </w:r>
      <w:r w:rsidRPr="004A44CC">
        <w:t>ollect</w:t>
      </w:r>
      <w:r w:rsidR="008652B4">
        <w:t>ing</w:t>
      </w:r>
      <w:r w:rsidRPr="004A44CC">
        <w:t xml:space="preserve"> data</w:t>
      </w:r>
      <w:r w:rsidR="008652B4">
        <w:t xml:space="preserve"> </w:t>
      </w:r>
      <w:r w:rsidR="000A20F4">
        <w:t xml:space="preserve">for these </w:t>
      </w:r>
      <w:r w:rsidR="008652B4">
        <w:t>may be too resource intensive</w:t>
      </w:r>
      <w:r w:rsidRPr="004A44CC">
        <w:t>.</w:t>
      </w:r>
    </w:p>
    <w:p w14:paraId="7913D916" w14:textId="78473EEA" w:rsidR="000A20F4" w:rsidRDefault="008652B4" w:rsidP="00B07296">
      <w:pPr>
        <w:pStyle w:val="Body"/>
      </w:pPr>
      <w:r>
        <w:t xml:space="preserve">For this reason, </w:t>
      </w:r>
      <w:r w:rsidR="003C5D5B" w:rsidRPr="003C5D5B">
        <w:t xml:space="preserve">FRD 24 </w:t>
      </w:r>
      <w:r>
        <w:t>includes</w:t>
      </w:r>
      <w:r w:rsidR="003C5D5B" w:rsidRPr="003C5D5B">
        <w:t xml:space="preserve"> a materiali</w:t>
      </w:r>
      <w:r>
        <w:t>ty</w:t>
      </w:r>
      <w:r w:rsidR="003C5D5B" w:rsidRPr="003C5D5B">
        <w:t xml:space="preserve"> clause that allows activities </w:t>
      </w:r>
      <w:r w:rsidR="000A20F4">
        <w:t>to be excluded when:</w:t>
      </w:r>
    </w:p>
    <w:p w14:paraId="799968F8" w14:textId="5882126A" w:rsidR="000A20F4" w:rsidRDefault="000A20F4" w:rsidP="000A20F4">
      <w:pPr>
        <w:pStyle w:val="Bullet1"/>
      </w:pPr>
      <w:r>
        <w:t>their</w:t>
      </w:r>
      <w:r w:rsidRPr="003C5D5B">
        <w:t xml:space="preserve"> </w:t>
      </w:r>
      <w:r w:rsidR="003C5D5B" w:rsidRPr="003C5D5B">
        <w:t xml:space="preserve">emissions </w:t>
      </w:r>
      <w:r w:rsidR="006E6C70">
        <w:t>are</w:t>
      </w:r>
      <w:r w:rsidR="003C5D5B" w:rsidRPr="003C5D5B">
        <w:t xml:space="preserve"> </w:t>
      </w:r>
      <w:r w:rsidRPr="008037D1">
        <w:rPr>
          <w:b/>
          <w:bCs/>
        </w:rPr>
        <w:t xml:space="preserve">less than </w:t>
      </w:r>
      <w:r w:rsidR="00D15293" w:rsidRPr="008037D1">
        <w:rPr>
          <w:b/>
          <w:bCs/>
        </w:rPr>
        <w:t>1%</w:t>
      </w:r>
      <w:r w:rsidR="003C5D5B" w:rsidRPr="003C5D5B">
        <w:t xml:space="preserve"> </w:t>
      </w:r>
      <w:r w:rsidR="00B54A4D">
        <w:t>o</w:t>
      </w:r>
      <w:r w:rsidR="003C5D5B" w:rsidRPr="003C5D5B">
        <w:t xml:space="preserve">f </w:t>
      </w:r>
      <w:r w:rsidR="000E7CC1">
        <w:t>an</w:t>
      </w:r>
      <w:r w:rsidR="003C5D5B" w:rsidRPr="003C5D5B">
        <w:t xml:space="preserve"> organisation’s total</w:t>
      </w:r>
      <w:r>
        <w:t>,</w:t>
      </w:r>
      <w:r w:rsidR="003C5D5B" w:rsidRPr="003C5D5B">
        <w:t xml:space="preserve"> </w:t>
      </w:r>
      <w:r w:rsidRPr="003C5D5B">
        <w:t>and</w:t>
      </w:r>
    </w:p>
    <w:p w14:paraId="1F3928B2" w14:textId="4DA9FEE5" w:rsidR="003C5D5B" w:rsidRDefault="003C5D5B" w:rsidP="008037D1">
      <w:pPr>
        <w:pStyle w:val="Bullet1"/>
      </w:pPr>
      <w:r w:rsidRPr="003C5D5B">
        <w:t xml:space="preserve">the amount of excluded activities </w:t>
      </w:r>
      <w:r w:rsidR="000A20F4">
        <w:t>is</w:t>
      </w:r>
      <w:r w:rsidR="000A20F4" w:rsidRPr="003C5D5B">
        <w:t xml:space="preserve"> </w:t>
      </w:r>
      <w:r w:rsidR="000A20F4" w:rsidRPr="008037D1">
        <w:rPr>
          <w:b/>
          <w:bCs/>
        </w:rPr>
        <w:t xml:space="preserve">less than </w:t>
      </w:r>
      <w:r w:rsidRPr="008037D1">
        <w:rPr>
          <w:b/>
          <w:bCs/>
        </w:rPr>
        <w:t>5</w:t>
      </w:r>
      <w:r w:rsidR="00D15293" w:rsidRPr="008037D1">
        <w:rPr>
          <w:b/>
          <w:bCs/>
        </w:rPr>
        <w:t>%</w:t>
      </w:r>
      <w:r w:rsidR="000A20F4" w:rsidRPr="003C5D5B">
        <w:t xml:space="preserve"> </w:t>
      </w:r>
      <w:r w:rsidRPr="003C5D5B">
        <w:t>of the organisation’s total</w:t>
      </w:r>
      <w:r w:rsidR="000821F3">
        <w:t xml:space="preserve"> activities</w:t>
      </w:r>
      <w:r w:rsidR="00742C6B">
        <w:t>.</w:t>
      </w:r>
    </w:p>
    <w:p w14:paraId="3CEC31A5" w14:textId="7ADE5710" w:rsidR="00A56469" w:rsidRDefault="00FA02FA" w:rsidP="008037D1">
      <w:pPr>
        <w:pStyle w:val="Bodyafterbullets"/>
      </w:pPr>
      <w:r>
        <w:t>For e</w:t>
      </w:r>
      <w:r w:rsidR="00A56469" w:rsidRPr="00A56469">
        <w:t>xample</w:t>
      </w:r>
      <w:r>
        <w:t>:</w:t>
      </w:r>
      <w:r w:rsidR="00D504B1">
        <w:t xml:space="preserve"> </w:t>
      </w:r>
    </w:p>
    <w:p w14:paraId="393BFFCA" w14:textId="09BFEC56" w:rsidR="00897547" w:rsidRPr="008037D1" w:rsidRDefault="00FA02FA" w:rsidP="007B4F70">
      <w:pPr>
        <w:pStyle w:val="Bullet1"/>
      </w:pPr>
      <w:r>
        <w:rPr>
          <w:lang w:eastAsia="en-AU"/>
        </w:rPr>
        <w:t>An</w:t>
      </w:r>
      <w:r w:rsidRPr="00897547">
        <w:rPr>
          <w:lang w:eastAsia="en-AU"/>
        </w:rPr>
        <w:t xml:space="preserve"> </w:t>
      </w:r>
      <w:r w:rsidR="00897547" w:rsidRPr="00897547">
        <w:rPr>
          <w:lang w:eastAsia="en-AU"/>
        </w:rPr>
        <w:t xml:space="preserve">organisation has </w:t>
      </w:r>
      <w:r w:rsidR="00632E3A">
        <w:rPr>
          <w:lang w:eastAsia="en-AU"/>
        </w:rPr>
        <w:t>6</w:t>
      </w:r>
      <w:r w:rsidR="00897547" w:rsidRPr="00897547">
        <w:rPr>
          <w:lang w:eastAsia="en-AU"/>
        </w:rPr>
        <w:t xml:space="preserve"> LPG </w:t>
      </w:r>
      <w:r>
        <w:rPr>
          <w:lang w:eastAsia="en-AU"/>
        </w:rPr>
        <w:t>barbecue</w:t>
      </w:r>
      <w:r w:rsidRPr="00897547">
        <w:rPr>
          <w:lang w:eastAsia="en-AU"/>
        </w:rPr>
        <w:t xml:space="preserve">s </w:t>
      </w:r>
      <w:r>
        <w:rPr>
          <w:lang w:eastAsia="en-AU"/>
        </w:rPr>
        <w:t>that</w:t>
      </w:r>
      <w:r w:rsidRPr="00897547">
        <w:rPr>
          <w:lang w:eastAsia="en-AU"/>
        </w:rPr>
        <w:t xml:space="preserve"> </w:t>
      </w:r>
      <w:r w:rsidR="00897547" w:rsidRPr="00897547">
        <w:rPr>
          <w:lang w:eastAsia="en-AU"/>
        </w:rPr>
        <w:t xml:space="preserve">are </w:t>
      </w:r>
      <w:r w:rsidR="00897547" w:rsidRPr="008037D1">
        <w:t>used</w:t>
      </w:r>
      <w:r w:rsidR="00897547" w:rsidRPr="00897547">
        <w:rPr>
          <w:lang w:eastAsia="en-AU"/>
        </w:rPr>
        <w:t xml:space="preserve"> 10</w:t>
      </w:r>
      <w:r>
        <w:rPr>
          <w:lang w:eastAsia="en-AU"/>
        </w:rPr>
        <w:t xml:space="preserve"> to </w:t>
      </w:r>
      <w:r w:rsidR="00897547" w:rsidRPr="00897547">
        <w:rPr>
          <w:lang w:eastAsia="en-AU"/>
        </w:rPr>
        <w:t xml:space="preserve">20 times </w:t>
      </w:r>
      <w:r>
        <w:rPr>
          <w:lang w:eastAsia="en-AU"/>
        </w:rPr>
        <w:t>each</w:t>
      </w:r>
      <w:r w:rsidRPr="00897547">
        <w:rPr>
          <w:lang w:eastAsia="en-AU"/>
        </w:rPr>
        <w:t xml:space="preserve"> </w:t>
      </w:r>
      <w:r w:rsidR="00897547" w:rsidRPr="00897547">
        <w:rPr>
          <w:lang w:eastAsia="en-AU"/>
        </w:rPr>
        <w:t>year</w:t>
      </w:r>
      <w:r>
        <w:rPr>
          <w:lang w:eastAsia="en-AU"/>
        </w:rPr>
        <w:t>.</w:t>
      </w:r>
      <w:r w:rsidR="00897547" w:rsidRPr="00897547">
        <w:rPr>
          <w:lang w:eastAsia="en-AU"/>
        </w:rPr>
        <w:t xml:space="preserve"> </w:t>
      </w:r>
      <w:r>
        <w:rPr>
          <w:lang w:eastAsia="en-AU"/>
        </w:rPr>
        <w:t>They</w:t>
      </w:r>
      <w:r w:rsidRPr="00897547">
        <w:rPr>
          <w:lang w:eastAsia="en-AU"/>
        </w:rPr>
        <w:t xml:space="preserve"> </w:t>
      </w:r>
      <w:r w:rsidR="00897547" w:rsidRPr="00897547">
        <w:rPr>
          <w:lang w:eastAsia="en-AU"/>
        </w:rPr>
        <w:t xml:space="preserve">produce much </w:t>
      </w:r>
      <w:r w:rsidR="00897547" w:rsidRPr="008037D1">
        <w:t>less than 1 tonne CO</w:t>
      </w:r>
      <w:r w:rsidR="00897547" w:rsidRPr="008037D1">
        <w:rPr>
          <w:vertAlign w:val="subscript"/>
        </w:rPr>
        <w:t>2</w:t>
      </w:r>
      <w:r w:rsidR="00897547" w:rsidRPr="008037D1">
        <w:t xml:space="preserve">-e </w:t>
      </w:r>
      <w:r>
        <w:t>each</w:t>
      </w:r>
      <w:r w:rsidRPr="008037D1">
        <w:t xml:space="preserve"> </w:t>
      </w:r>
      <w:r w:rsidR="00897547" w:rsidRPr="008037D1">
        <w:t>year</w:t>
      </w:r>
      <w:r>
        <w:t>.</w:t>
      </w:r>
      <w:r w:rsidR="00897547" w:rsidRPr="008037D1">
        <w:t xml:space="preserve"> </w:t>
      </w:r>
      <w:r>
        <w:t xml:space="preserve">This </w:t>
      </w:r>
      <w:r w:rsidR="00897547" w:rsidRPr="008037D1">
        <w:t xml:space="preserve">is much less than </w:t>
      </w:r>
      <w:r w:rsidR="00632E3A">
        <w:t>one per cent</w:t>
      </w:r>
      <w:r w:rsidR="00632E3A" w:rsidRPr="008037D1">
        <w:t xml:space="preserve"> </w:t>
      </w:r>
      <w:r w:rsidR="00897547" w:rsidRPr="008037D1">
        <w:t xml:space="preserve">of </w:t>
      </w:r>
      <w:r>
        <w:t xml:space="preserve">the </w:t>
      </w:r>
      <w:r w:rsidR="00897547" w:rsidRPr="008037D1">
        <w:t>organisatio</w:t>
      </w:r>
      <w:r>
        <w:t>n’s</w:t>
      </w:r>
      <w:r w:rsidR="00897547" w:rsidRPr="008037D1">
        <w:t xml:space="preserve"> emissions.</w:t>
      </w:r>
    </w:p>
    <w:p w14:paraId="2B015065" w14:textId="1E30ADD1" w:rsidR="00C16165" w:rsidRDefault="00FA02FA" w:rsidP="008037D1">
      <w:pPr>
        <w:pStyle w:val="Bullet1"/>
      </w:pPr>
      <w:r>
        <w:t>An</w:t>
      </w:r>
      <w:r w:rsidRPr="007B4F70">
        <w:t xml:space="preserve"> </w:t>
      </w:r>
      <w:r w:rsidR="00965B43" w:rsidRPr="007B4F70">
        <w:t>organisation has a small organic food waste bin in their kitchen that is emptied weekly</w:t>
      </w:r>
      <w:r>
        <w:t>.</w:t>
      </w:r>
      <w:r w:rsidR="00965B43" w:rsidRPr="007B4F70">
        <w:t xml:space="preserve"> </w:t>
      </w:r>
      <w:r>
        <w:t xml:space="preserve">It </w:t>
      </w:r>
      <w:r w:rsidR="00965B43" w:rsidRPr="00965B43">
        <w:t xml:space="preserve">produces much less than </w:t>
      </w:r>
      <w:r w:rsidR="00632E3A">
        <w:t>one per cent</w:t>
      </w:r>
      <w:r w:rsidR="00965B43" w:rsidRPr="00965B43">
        <w:t xml:space="preserve"> of the organisation’s total </w:t>
      </w:r>
      <w:r>
        <w:t xml:space="preserve">volume of </w:t>
      </w:r>
      <w:r w:rsidR="00965B43" w:rsidRPr="00965B43">
        <w:t>waste</w:t>
      </w:r>
      <w:r w:rsidR="00454E8E">
        <w:t>.</w:t>
      </w:r>
    </w:p>
    <w:p w14:paraId="75EDE2A1" w14:textId="0A32E4F6" w:rsidR="00C16165" w:rsidRDefault="00FA02FA" w:rsidP="008037D1">
      <w:pPr>
        <w:pStyle w:val="Bodyafterbullets"/>
      </w:pPr>
      <w:r>
        <w:t xml:space="preserve">More </w:t>
      </w:r>
      <w:r w:rsidR="00C16165">
        <w:t xml:space="preserve">information </w:t>
      </w:r>
      <w:r>
        <w:t>is in</w:t>
      </w:r>
      <w:r w:rsidR="00C16165">
        <w:t xml:space="preserve"> the ‘</w:t>
      </w:r>
      <w:r>
        <w:t>M</w:t>
      </w:r>
      <w:r w:rsidR="00C16165">
        <w:t xml:space="preserve">ateriality and completeness’ section </w:t>
      </w:r>
      <w:r>
        <w:t>of</w:t>
      </w:r>
      <w:r w:rsidR="00BE5867">
        <w:t xml:space="preserve"> FRD 24.</w:t>
      </w:r>
    </w:p>
    <w:p w14:paraId="7A32706A" w14:textId="4B1FCA8C" w:rsidR="005D203A" w:rsidRDefault="00642110" w:rsidP="008037D1">
      <w:pPr>
        <w:pStyle w:val="Heading2"/>
        <w:numPr>
          <w:ilvl w:val="1"/>
          <w:numId w:val="91"/>
        </w:numPr>
      </w:pPr>
      <w:bookmarkStart w:id="24" w:name="_Toc138239107"/>
      <w:r>
        <w:t>A</w:t>
      </w:r>
      <w:r w:rsidR="000D2D77">
        <w:t>ccounting year</w:t>
      </w:r>
      <w:bookmarkEnd w:id="24"/>
    </w:p>
    <w:p w14:paraId="659758B1" w14:textId="26D7FFF9" w:rsidR="005D203A" w:rsidRDefault="00F646E5" w:rsidP="00ED7762">
      <w:pPr>
        <w:pStyle w:val="Body"/>
      </w:pPr>
      <w:r>
        <w:t>E</w:t>
      </w:r>
      <w:r w:rsidR="006934FC">
        <w:t xml:space="preserve">nvironmental data </w:t>
      </w:r>
      <w:r w:rsidR="00D7267E">
        <w:t xml:space="preserve">included in </w:t>
      </w:r>
      <w:r w:rsidR="00A27217">
        <w:t xml:space="preserve">a </w:t>
      </w:r>
      <w:r w:rsidR="00FD02BD">
        <w:t>reporting entity’s</w:t>
      </w:r>
      <w:r w:rsidR="00A27217">
        <w:t xml:space="preserve"> </w:t>
      </w:r>
      <w:r w:rsidR="00D7267E">
        <w:t>public</w:t>
      </w:r>
      <w:r w:rsidR="00FD02BD">
        <w:t xml:space="preserve"> annual</w:t>
      </w:r>
      <w:r w:rsidR="00D7267E">
        <w:t xml:space="preserve"> report </w:t>
      </w:r>
      <w:r w:rsidR="00F67AA7">
        <w:t>should</w:t>
      </w:r>
      <w:r w:rsidR="006934FC">
        <w:t xml:space="preserve"> </w:t>
      </w:r>
      <w:r w:rsidR="00FA02FA">
        <w:t xml:space="preserve">be for </w:t>
      </w:r>
      <w:r w:rsidR="006934FC">
        <w:t xml:space="preserve">the financial year of 1 July to </w:t>
      </w:r>
      <w:r w:rsidR="00FA02FA">
        <w:t xml:space="preserve">30 </w:t>
      </w:r>
      <w:r w:rsidR="006934FC">
        <w:t>June</w:t>
      </w:r>
      <w:r w:rsidR="00102DE0">
        <w:t xml:space="preserve"> the next year.</w:t>
      </w:r>
      <w:r w:rsidR="006934FC">
        <w:t xml:space="preserve"> </w:t>
      </w:r>
    </w:p>
    <w:p w14:paraId="43DA24B2" w14:textId="4783BB03" w:rsidR="00E267A2" w:rsidRDefault="00E267A2" w:rsidP="008037D1">
      <w:pPr>
        <w:pStyle w:val="Heading2"/>
        <w:numPr>
          <w:ilvl w:val="1"/>
          <w:numId w:val="91"/>
        </w:numPr>
      </w:pPr>
      <w:bookmarkStart w:id="25" w:name="_Toc138239108"/>
      <w:r>
        <w:t>Qualitative disclosures</w:t>
      </w:r>
      <w:bookmarkEnd w:id="25"/>
    </w:p>
    <w:p w14:paraId="20A96299" w14:textId="2734AEFB" w:rsidR="00234B6F" w:rsidRDefault="00234B6F" w:rsidP="00381BC9">
      <w:pPr>
        <w:pStyle w:val="Bullet1"/>
        <w:numPr>
          <w:ilvl w:val="0"/>
          <w:numId w:val="0"/>
        </w:numPr>
        <w:spacing w:after="120"/>
      </w:pPr>
      <w:r w:rsidRPr="000D685C">
        <w:t xml:space="preserve">In addition to </w:t>
      </w:r>
      <w:r w:rsidR="008A17CE">
        <w:t>quantitative</w:t>
      </w:r>
      <w:r w:rsidRPr="000D685C">
        <w:t xml:space="preserve"> data, </w:t>
      </w:r>
      <w:r w:rsidR="00424B03">
        <w:t>reporting entities</w:t>
      </w:r>
      <w:r w:rsidRPr="000D685C">
        <w:t xml:space="preserve"> should include qualitative disclosures that </w:t>
      </w:r>
      <w:r w:rsidR="00FA02FA">
        <w:t>give</w:t>
      </w:r>
      <w:r w:rsidR="00FA02FA" w:rsidRPr="000D685C">
        <w:t xml:space="preserve"> </w:t>
      </w:r>
      <w:r w:rsidRPr="000D685C">
        <w:t>essential context</w:t>
      </w:r>
      <w:r>
        <w:t xml:space="preserve"> o</w:t>
      </w:r>
      <w:r w:rsidR="00A61879">
        <w:t>r information on</w:t>
      </w:r>
      <w:r w:rsidRPr="004A71A9">
        <w:t xml:space="preserve"> </w:t>
      </w:r>
      <w:r w:rsidR="00FA02FA">
        <w:t xml:space="preserve">underlying </w:t>
      </w:r>
      <w:r w:rsidRPr="004A71A9">
        <w:t xml:space="preserve">issues. Contextual information could include: </w:t>
      </w:r>
    </w:p>
    <w:p w14:paraId="12F92C35" w14:textId="2B29A768" w:rsidR="00234B6F" w:rsidRPr="007B4F70" w:rsidRDefault="00A9464E" w:rsidP="008037D1">
      <w:pPr>
        <w:pStyle w:val="Bullet1"/>
      </w:pPr>
      <w:r w:rsidRPr="007B4F70">
        <w:t xml:space="preserve">description of environmental </w:t>
      </w:r>
      <w:r w:rsidR="00234B6F" w:rsidRPr="007B4F70">
        <w:t>performance in the reported year</w:t>
      </w:r>
    </w:p>
    <w:p w14:paraId="7C21B1CF" w14:textId="649EA1A9" w:rsidR="00234B6F" w:rsidRPr="007B4F70" w:rsidRDefault="00234B6F" w:rsidP="008037D1">
      <w:pPr>
        <w:pStyle w:val="Bullet1"/>
      </w:pPr>
      <w:r w:rsidRPr="007B4F70">
        <w:t xml:space="preserve">factors that may have contributed to increases or decreases in environmental </w:t>
      </w:r>
      <w:r w:rsidR="003E3EAC" w:rsidRPr="007B4F70">
        <w:t>indicators</w:t>
      </w:r>
      <w:r w:rsidR="00FA02FA">
        <w:t xml:space="preserve"> (</w:t>
      </w:r>
      <w:r w:rsidRPr="007B4F70">
        <w:t xml:space="preserve">such as growth in service delivery, </w:t>
      </w:r>
      <w:r w:rsidR="00FA02FA">
        <w:t>more</w:t>
      </w:r>
      <w:r w:rsidR="00FA02FA" w:rsidRPr="007B4F70">
        <w:t xml:space="preserve"> </w:t>
      </w:r>
      <w:r w:rsidRPr="007B4F70">
        <w:t xml:space="preserve">equipment or </w:t>
      </w:r>
      <w:r w:rsidR="00FA02FA">
        <w:t>more</w:t>
      </w:r>
      <w:r w:rsidR="00FA02FA" w:rsidRPr="007B4F70">
        <w:t xml:space="preserve"> </w:t>
      </w:r>
      <w:r w:rsidRPr="007B4F70">
        <w:t>floor space</w:t>
      </w:r>
      <w:r w:rsidR="00FA02FA">
        <w:t>)</w:t>
      </w:r>
    </w:p>
    <w:p w14:paraId="33AF5A1F" w14:textId="00BC3C0C" w:rsidR="00234B6F" w:rsidRPr="007B4F70" w:rsidRDefault="00234B6F" w:rsidP="008037D1">
      <w:pPr>
        <w:pStyle w:val="Bullet1"/>
      </w:pPr>
      <w:r w:rsidRPr="007B4F70">
        <w:t>any data quality issues</w:t>
      </w:r>
      <w:r w:rsidR="00FA02FA">
        <w:t>,</w:t>
      </w:r>
      <w:r w:rsidRPr="007B4F70">
        <w:t xml:space="preserve"> including changes in previously reported information</w:t>
      </w:r>
    </w:p>
    <w:p w14:paraId="2B2EC01A" w14:textId="631C22A7" w:rsidR="00381BC9" w:rsidRPr="007B4F70" w:rsidRDefault="00FA02FA" w:rsidP="008037D1">
      <w:pPr>
        <w:pStyle w:val="Bullet1"/>
      </w:pPr>
      <w:r>
        <w:t>any</w:t>
      </w:r>
      <w:r w:rsidR="00381BC9" w:rsidRPr="007B4F70">
        <w:t xml:space="preserve"> data </w:t>
      </w:r>
      <w:r>
        <w:t xml:space="preserve">excluded </w:t>
      </w:r>
      <w:r w:rsidR="00381BC9" w:rsidRPr="007B4F70">
        <w:t>due to materiality or operational control</w:t>
      </w:r>
    </w:p>
    <w:p w14:paraId="665EB7D8" w14:textId="0BE8D82D" w:rsidR="00381BC9" w:rsidRPr="007B4F70" w:rsidRDefault="00381BC9" w:rsidP="008037D1">
      <w:pPr>
        <w:pStyle w:val="Bullet1"/>
      </w:pPr>
      <w:r w:rsidRPr="007B4F70">
        <w:t xml:space="preserve">commentary </w:t>
      </w:r>
      <w:r w:rsidR="00FA02FA">
        <w:t>on</w:t>
      </w:r>
      <w:r w:rsidR="00FA02FA" w:rsidRPr="007B4F70">
        <w:t xml:space="preserve"> </w:t>
      </w:r>
      <w:r w:rsidRPr="007B4F70">
        <w:t>accounting or reporting boundaries</w:t>
      </w:r>
      <w:r w:rsidR="003E3EAC" w:rsidRPr="007B4F70">
        <w:t>.</w:t>
      </w:r>
    </w:p>
    <w:p w14:paraId="19437B64" w14:textId="2145424A" w:rsidR="00BE5867" w:rsidRDefault="00FA02FA">
      <w:pPr>
        <w:pStyle w:val="Bodyafterbullets"/>
      </w:pPr>
      <w:r>
        <w:t>T</w:t>
      </w:r>
      <w:r w:rsidRPr="004F73B0">
        <w:t>he</w:t>
      </w:r>
      <w:r>
        <w:t xml:space="preserve"> ‘Environmental reporting’ section</w:t>
      </w:r>
      <w:r w:rsidRPr="004F73B0">
        <w:t xml:space="preserve"> </w:t>
      </w:r>
      <w:r>
        <w:t>of</w:t>
      </w:r>
      <w:r w:rsidR="00234B6F">
        <w:t xml:space="preserve"> the </w:t>
      </w:r>
      <w:r w:rsidRPr="008037D1">
        <w:rPr>
          <w:i/>
          <w:iCs/>
        </w:rPr>
        <w:t xml:space="preserve">2022-23 Model Report for Victorian Government </w:t>
      </w:r>
      <w:r w:rsidR="00264123">
        <w:rPr>
          <w:i/>
          <w:iCs/>
          <w:lang w:val="en-US"/>
        </w:rPr>
        <w:t>D</w:t>
      </w:r>
      <w:r w:rsidRPr="008037D1">
        <w:rPr>
          <w:i/>
          <w:iCs/>
        </w:rPr>
        <w:t>epartments</w:t>
      </w:r>
      <w:r w:rsidR="00234B6F">
        <w:rPr>
          <w:lang w:val="en-US"/>
        </w:rPr>
        <w:t xml:space="preserve"> </w:t>
      </w:r>
      <w:r w:rsidR="00234B6F">
        <w:t>include examples of qualitative disclosures.</w:t>
      </w:r>
      <w:r w:rsidRPr="00FA02FA">
        <w:rPr>
          <w:lang w:val="en-US"/>
        </w:rPr>
        <w:t xml:space="preserve"> </w:t>
      </w:r>
      <w:r>
        <w:rPr>
          <w:lang w:val="en-US"/>
        </w:rPr>
        <w:t xml:space="preserve">The Model Report can be downloaded from the Department of Treasury and Finance’s (DTF) website. See </w:t>
      </w:r>
      <w:hyperlink r:id="rId17" w:history="1">
        <w:r w:rsidRPr="00BE5867">
          <w:rPr>
            <w:rStyle w:val="Hyperlink"/>
            <w:lang w:val="en-US"/>
          </w:rPr>
          <w:t>DTF’s Model Report web page</w:t>
        </w:r>
      </w:hyperlink>
      <w:r>
        <w:rPr>
          <w:lang w:val="en-US"/>
        </w:rPr>
        <w:t xml:space="preserve"> &lt;</w:t>
      </w:r>
      <w:r w:rsidRPr="00ED6C74">
        <w:rPr>
          <w:lang w:val="en-US"/>
        </w:rPr>
        <w:t>https://www.dtf.vic.gov.au/financial-reporting-policy/model-report</w:t>
      </w:r>
      <w:r>
        <w:rPr>
          <w:lang w:val="en-US"/>
        </w:rPr>
        <w:t>&gt;</w:t>
      </w:r>
      <w:r>
        <w:t>.</w:t>
      </w:r>
    </w:p>
    <w:p w14:paraId="354488AF" w14:textId="65BBBE71" w:rsidR="00BE5867" w:rsidRDefault="00BE5867" w:rsidP="00BE5867">
      <w:pPr>
        <w:pStyle w:val="Body"/>
        <w:rPr>
          <w:i/>
          <w:iCs/>
        </w:rPr>
      </w:pPr>
      <w:r>
        <w:t>More</w:t>
      </w:r>
      <w:r w:rsidR="00234B6F">
        <w:t xml:space="preserve"> guidance can found under </w:t>
      </w:r>
      <w:r>
        <w:t>‘</w:t>
      </w:r>
      <w:r w:rsidR="00234B6F">
        <w:t>4.6</w:t>
      </w:r>
      <w:r>
        <w:t xml:space="preserve"> Context’</w:t>
      </w:r>
      <w:r w:rsidR="00234B6F">
        <w:t xml:space="preserve"> in</w:t>
      </w:r>
      <w:r>
        <w:t xml:space="preserve"> FRD 24.</w:t>
      </w:r>
    </w:p>
    <w:p w14:paraId="7CA769B4" w14:textId="2A5C10CD" w:rsidR="00853F27" w:rsidRDefault="00BE5867" w:rsidP="00BE5867">
      <w:pPr>
        <w:pStyle w:val="Body"/>
        <w:rPr>
          <w:lang w:val="en-US"/>
        </w:rPr>
      </w:pPr>
      <w:r>
        <w:rPr>
          <w:lang w:val="en-US"/>
        </w:rPr>
        <w:t xml:space="preserve">FRD 24 is available on </w:t>
      </w:r>
      <w:hyperlink r:id="rId18" w:history="1">
        <w:r>
          <w:rPr>
            <w:rStyle w:val="Hyperlink"/>
          </w:rPr>
          <w:t>DEECA's Government environmental reporting web page</w:t>
        </w:r>
      </w:hyperlink>
      <w:r>
        <w:rPr>
          <w:lang w:val="en-US"/>
        </w:rPr>
        <w:t xml:space="preserve"> &lt;</w:t>
      </w:r>
      <w:r w:rsidRPr="00E929A0">
        <w:rPr>
          <w:lang w:val="en-US"/>
        </w:rPr>
        <w:t>https://www.climatechange.vic.gov.au/victorian-government-action-on-climate-change/government-environmental-reporting</w:t>
      </w:r>
      <w:r>
        <w:rPr>
          <w:lang w:val="en-US"/>
        </w:rPr>
        <w:t>&gt;.</w:t>
      </w:r>
    </w:p>
    <w:p w14:paraId="3807354B" w14:textId="762C020B" w:rsidR="00853F27" w:rsidRPr="00853F27" w:rsidRDefault="00853F27" w:rsidP="008037D1">
      <w:pPr>
        <w:pStyle w:val="Heading2"/>
        <w:numPr>
          <w:ilvl w:val="1"/>
          <w:numId w:val="91"/>
        </w:numPr>
        <w:rPr>
          <w:rFonts w:eastAsia="Times"/>
        </w:rPr>
      </w:pPr>
      <w:bookmarkStart w:id="26" w:name="_Toc138239109"/>
      <w:r w:rsidRPr="00853F27">
        <w:rPr>
          <w:rFonts w:eastAsia="Times"/>
        </w:rPr>
        <w:t>Normalising factors</w:t>
      </w:r>
      <w:bookmarkEnd w:id="26"/>
    </w:p>
    <w:p w14:paraId="467E4BC9" w14:textId="4BEE13C7" w:rsidR="00BE5867" w:rsidRDefault="00853F27" w:rsidP="00853F27">
      <w:pPr>
        <w:pStyle w:val="Body"/>
      </w:pPr>
      <w:r w:rsidRPr="00853F27">
        <w:t xml:space="preserve">Normalising factors </w:t>
      </w:r>
      <w:r w:rsidR="00BE5867">
        <w:t>are</w:t>
      </w:r>
      <w:r w:rsidRPr="00853F27">
        <w:t xml:space="preserve"> indicators used to compare (or benchmark) environmental performance over time and allow for any changes in service delivery.</w:t>
      </w:r>
    </w:p>
    <w:p w14:paraId="4FABDCD8" w14:textId="077984E6" w:rsidR="00BE5867" w:rsidRDefault="00853F27" w:rsidP="00853F27">
      <w:pPr>
        <w:pStyle w:val="Body"/>
      </w:pPr>
      <w:r w:rsidRPr="00853F27">
        <w:t>There are a number of normalising factors that can be used for measuring environmental performance in</w:t>
      </w:r>
      <w:r w:rsidR="00BE5867">
        <w:t>:</w:t>
      </w:r>
    </w:p>
    <w:p w14:paraId="6340D20A" w14:textId="782C7B41" w:rsidR="00BE5867" w:rsidRDefault="00853F27" w:rsidP="00BE5867">
      <w:pPr>
        <w:pStyle w:val="Bullet1"/>
      </w:pPr>
      <w:r w:rsidRPr="00853F27">
        <w:t>health services</w:t>
      </w:r>
      <w:r w:rsidR="00AD37E7">
        <w:t xml:space="preserve"> </w:t>
      </w:r>
      <w:r w:rsidR="00BE5867">
        <w:t>– such as</w:t>
      </w:r>
      <w:r w:rsidR="0033481D">
        <w:t xml:space="preserve"> health activity metrics</w:t>
      </w:r>
      <w:r w:rsidR="00BE5867">
        <w:t xml:space="preserve"> or</w:t>
      </w:r>
      <w:r w:rsidR="0033481D">
        <w:t xml:space="preserve"> floor area</w:t>
      </w:r>
    </w:p>
    <w:p w14:paraId="0794449C" w14:textId="12F203D8" w:rsidR="00853F27" w:rsidRPr="00853F27" w:rsidRDefault="00AD37E7" w:rsidP="008037D1">
      <w:pPr>
        <w:pStyle w:val="Bullet1"/>
      </w:pPr>
      <w:r>
        <w:t>office-based health portfolio entities</w:t>
      </w:r>
      <w:r w:rsidR="00853F27" w:rsidRPr="00853F27">
        <w:t xml:space="preserve"> </w:t>
      </w:r>
      <w:r w:rsidR="00BE5867">
        <w:t>– such as full-time equivalent</w:t>
      </w:r>
      <w:r w:rsidR="00853F27" w:rsidRPr="00853F27">
        <w:t xml:space="preserve"> </w:t>
      </w:r>
      <w:r w:rsidR="00BE5867">
        <w:t>(</w:t>
      </w:r>
      <w:r w:rsidR="00853F27" w:rsidRPr="00853F27">
        <w:t>FTE</w:t>
      </w:r>
      <w:r w:rsidR="00BE5867">
        <w:t>) or</w:t>
      </w:r>
      <w:r w:rsidR="00853F27" w:rsidRPr="00853F27">
        <w:t xml:space="preserve"> floor area.</w:t>
      </w:r>
    </w:p>
    <w:p w14:paraId="5E18B74A" w14:textId="77777777" w:rsidR="00853F27" w:rsidRPr="00853F27" w:rsidRDefault="00853F27" w:rsidP="008037D1">
      <w:pPr>
        <w:pStyle w:val="Bodyafterbullets"/>
      </w:pPr>
      <w:r w:rsidRPr="00853F27">
        <w:t xml:space="preserve">For office-based entities, FTE will typically be the most appropriate normalisation factor. </w:t>
      </w:r>
    </w:p>
    <w:p w14:paraId="753C6892" w14:textId="77777777" w:rsidR="00853F27" w:rsidRPr="00853F27" w:rsidRDefault="00853F27" w:rsidP="00853F27">
      <w:pPr>
        <w:pStyle w:val="Body"/>
      </w:pPr>
      <w:r w:rsidRPr="00853F27">
        <w:t>Some mandatory FRD 24 indicators are normalised:</w:t>
      </w:r>
    </w:p>
    <w:p w14:paraId="2984AF50" w14:textId="5D217050" w:rsidR="00853F27" w:rsidRPr="00853F27" w:rsidRDefault="00882810" w:rsidP="008037D1">
      <w:pPr>
        <w:pStyle w:val="Bullet1"/>
      </w:pPr>
      <w:r w:rsidRPr="00853F27">
        <w:t>to</w:t>
      </w:r>
      <w:r w:rsidR="00853F27" w:rsidRPr="00853F27">
        <w:t>tal energy use (E4)</w:t>
      </w:r>
    </w:p>
    <w:p w14:paraId="624656B8" w14:textId="05C6F11B" w:rsidR="00853F27" w:rsidRPr="00853F27" w:rsidRDefault="00882810" w:rsidP="008037D1">
      <w:pPr>
        <w:pStyle w:val="Bullet1"/>
      </w:pPr>
      <w:r w:rsidRPr="00853F27">
        <w:t>w</w:t>
      </w:r>
      <w:r w:rsidR="00853F27" w:rsidRPr="00853F27">
        <w:t>ater consumption (W2)</w:t>
      </w:r>
    </w:p>
    <w:p w14:paraId="3F79B5B3" w14:textId="24DB1BDE" w:rsidR="00853F27" w:rsidRPr="00853F27" w:rsidRDefault="00882810" w:rsidP="008037D1">
      <w:pPr>
        <w:pStyle w:val="Bullet1"/>
      </w:pPr>
      <w:r w:rsidRPr="00853F27">
        <w:t>w</w:t>
      </w:r>
      <w:r w:rsidR="00853F27" w:rsidRPr="00853F27">
        <w:t>aste disposal (WR3)</w:t>
      </w:r>
      <w:r w:rsidR="00F02791">
        <w:t>.</w:t>
      </w:r>
    </w:p>
    <w:p w14:paraId="69C15E8E" w14:textId="33DD8664" w:rsidR="006A27E6" w:rsidRDefault="006A27E6" w:rsidP="008037D1">
      <w:pPr>
        <w:pStyle w:val="Bodyafterbullets"/>
      </w:pPr>
      <w:r>
        <w:t xml:space="preserve">The EDMS </w:t>
      </w:r>
      <w:r w:rsidR="00BF33C0">
        <w:t>norm</w:t>
      </w:r>
      <w:r w:rsidR="00857C52">
        <w:t>alis</w:t>
      </w:r>
      <w:r w:rsidR="00AD37E7">
        <w:t>es data against the most relevant</w:t>
      </w:r>
      <w:r w:rsidR="00857C52">
        <w:t xml:space="preserve"> factors</w:t>
      </w:r>
      <w:r w:rsidR="00AD37E7">
        <w:t>.</w:t>
      </w:r>
    </w:p>
    <w:p w14:paraId="1E5127E4" w14:textId="3FC6ED8C" w:rsidR="00F02791" w:rsidRDefault="00F02791" w:rsidP="00853F27">
      <w:pPr>
        <w:pStyle w:val="Body"/>
      </w:pPr>
      <w:r>
        <w:t>A</w:t>
      </w:r>
      <w:r w:rsidR="00853F27" w:rsidRPr="00853F27">
        <w:t xml:space="preserve"> table on normalising factors for reporting environmental impacts in health services</w:t>
      </w:r>
      <w:r>
        <w:t xml:space="preserve"> is in </w:t>
      </w:r>
      <w:r w:rsidRPr="008037D1">
        <w:rPr>
          <w:b/>
          <w:bCs/>
          <w:u w:val="single"/>
        </w:rPr>
        <w:fldChar w:fldCharType="begin"/>
      </w:r>
      <w:r w:rsidRPr="008037D1">
        <w:rPr>
          <w:b/>
          <w:bCs/>
          <w:u w:val="single"/>
        </w:rPr>
        <w:instrText xml:space="preserve"> REF _Ref137635162 \h  \* MERGEFORMAT </w:instrText>
      </w:r>
      <w:r w:rsidRPr="008037D1">
        <w:rPr>
          <w:b/>
          <w:bCs/>
          <w:u w:val="single"/>
        </w:rPr>
      </w:r>
      <w:r w:rsidRPr="008037D1">
        <w:rPr>
          <w:b/>
          <w:bCs/>
          <w:u w:val="single"/>
        </w:rPr>
        <w:fldChar w:fldCharType="separate"/>
      </w:r>
      <w:r w:rsidR="00C52465" w:rsidRPr="008037D1">
        <w:rPr>
          <w:b/>
          <w:bCs/>
          <w:u w:val="single"/>
        </w:rPr>
        <w:t>Appendix D: Normalising factors and benchmarks</w:t>
      </w:r>
      <w:r w:rsidRPr="008037D1">
        <w:rPr>
          <w:b/>
          <w:bCs/>
          <w:u w:val="single"/>
        </w:rPr>
        <w:fldChar w:fldCharType="end"/>
      </w:r>
      <w:r w:rsidR="00853F27" w:rsidRPr="00853F27">
        <w:t>.</w:t>
      </w:r>
    </w:p>
    <w:p w14:paraId="3B3C5A3C" w14:textId="0F6A7B0A" w:rsidR="00853F27" w:rsidRPr="00853F27" w:rsidRDefault="00F02791" w:rsidP="00853F27">
      <w:pPr>
        <w:pStyle w:val="Body"/>
      </w:pPr>
      <w:r>
        <w:t>More information is in t</w:t>
      </w:r>
      <w:r w:rsidRPr="00853F27">
        <w:t xml:space="preserve">he </w:t>
      </w:r>
      <w:r w:rsidR="00853F27" w:rsidRPr="00853F27">
        <w:t>‘</w:t>
      </w:r>
      <w:r>
        <w:t>N</w:t>
      </w:r>
      <w:r w:rsidRPr="00853F27">
        <w:t xml:space="preserve">ormalisation’ </w:t>
      </w:r>
      <w:r w:rsidR="00853F27" w:rsidRPr="00853F27">
        <w:t xml:space="preserve">section </w:t>
      </w:r>
      <w:r>
        <w:t>of</w:t>
      </w:r>
      <w:r w:rsidRPr="00853F27">
        <w:t xml:space="preserve"> </w:t>
      </w:r>
      <w:r w:rsidRPr="008037D1">
        <w:rPr>
          <w:i/>
          <w:iCs/>
        </w:rPr>
        <w:t>Guidance on environmental disclosures under FRD 24</w:t>
      </w:r>
      <w:r w:rsidRPr="00F02791">
        <w:rPr>
          <w:lang w:val="en-US"/>
        </w:rPr>
        <w:t>.</w:t>
      </w:r>
      <w:r>
        <w:rPr>
          <w:lang w:val="en-US"/>
        </w:rPr>
        <w:t xml:space="preserve"> See </w:t>
      </w:r>
      <w:hyperlink r:id="rId19" w:history="1">
        <w:r>
          <w:rPr>
            <w:rStyle w:val="Hyperlink"/>
          </w:rPr>
          <w:t>DEECA's Government environmental reporting web page</w:t>
        </w:r>
      </w:hyperlink>
      <w:r>
        <w:rPr>
          <w:lang w:val="en-US"/>
        </w:rPr>
        <w:t xml:space="preserve"> &lt;</w:t>
      </w:r>
      <w:r w:rsidRPr="00E929A0">
        <w:rPr>
          <w:lang w:val="en-US"/>
        </w:rPr>
        <w:t>https://www.climatechange.vic.gov.au/victorian-government-action-on-climate-change/government-environmental-reporting</w:t>
      </w:r>
      <w:r>
        <w:rPr>
          <w:lang w:val="en-US"/>
        </w:rPr>
        <w:t>&gt;.</w:t>
      </w:r>
    </w:p>
    <w:p w14:paraId="155E9135" w14:textId="4957F2EF" w:rsidR="00853F27" w:rsidRPr="00853F27" w:rsidRDefault="00853F27" w:rsidP="008037D1">
      <w:pPr>
        <w:pStyle w:val="Heading2"/>
        <w:numPr>
          <w:ilvl w:val="1"/>
          <w:numId w:val="91"/>
        </w:numPr>
        <w:rPr>
          <w:rFonts w:eastAsia="Times"/>
        </w:rPr>
      </w:pPr>
      <w:bookmarkStart w:id="27" w:name="_Toc138239110"/>
      <w:r w:rsidRPr="00853F27">
        <w:rPr>
          <w:rFonts w:eastAsia="Times"/>
        </w:rPr>
        <w:t>How to meet reporting requirements</w:t>
      </w:r>
      <w:r w:rsidR="008431E6">
        <w:rPr>
          <w:rFonts w:eastAsia="Times"/>
        </w:rPr>
        <w:t xml:space="preserve"> for </w:t>
      </w:r>
      <w:r w:rsidRPr="00853F27">
        <w:rPr>
          <w:rFonts w:eastAsia="Times"/>
        </w:rPr>
        <w:t>unavailable data</w:t>
      </w:r>
      <w:bookmarkEnd w:id="27"/>
    </w:p>
    <w:p w14:paraId="73CF2C0B" w14:textId="3B2A70C6" w:rsidR="00EF1BB3" w:rsidRDefault="00EF1BB3" w:rsidP="00EF1BB3">
      <w:pPr>
        <w:pStyle w:val="Body"/>
      </w:pPr>
      <w:r w:rsidRPr="00EF1BB3">
        <w:t xml:space="preserve">Reporting entities should always aim to report the actual data for all activities and all indicators. Where it is </w:t>
      </w:r>
      <w:r w:rsidR="00200AC2">
        <w:t>not practical</w:t>
      </w:r>
      <w:r w:rsidR="00200AC2" w:rsidRPr="00EF1BB3">
        <w:t xml:space="preserve"> </w:t>
      </w:r>
      <w:r w:rsidRPr="00EF1BB3">
        <w:t>to do so</w:t>
      </w:r>
      <w:r w:rsidR="002C347E">
        <w:t xml:space="preserve">, </w:t>
      </w:r>
      <w:r w:rsidR="00200AC2">
        <w:t xml:space="preserve">consider </w:t>
      </w:r>
      <w:r w:rsidR="002C347E">
        <w:t>the following:</w:t>
      </w:r>
    </w:p>
    <w:p w14:paraId="6F047E13" w14:textId="1F6B7A20" w:rsidR="001823D8" w:rsidRPr="007B4F70" w:rsidRDefault="00200AC2" w:rsidP="008037D1">
      <w:pPr>
        <w:pStyle w:val="Bullet1"/>
      </w:pPr>
      <w:r>
        <w:t>c</w:t>
      </w:r>
      <w:r w:rsidRPr="007B4F70">
        <w:t xml:space="preserve">heck </w:t>
      </w:r>
      <w:r w:rsidR="001823D8" w:rsidRPr="007B4F70">
        <w:t>the wording of the indicator in FRD 24 – some indicators only require reporting on certain activities where data is available</w:t>
      </w:r>
    </w:p>
    <w:p w14:paraId="1A65A03B" w14:textId="44EB0D01" w:rsidR="001823D8" w:rsidRPr="007B4F70" w:rsidRDefault="001823D8" w:rsidP="008037D1">
      <w:pPr>
        <w:pStyle w:val="Bullet1"/>
      </w:pPr>
      <w:r w:rsidRPr="007B4F70">
        <w:t>materiality – if the activity is very small</w:t>
      </w:r>
      <w:r w:rsidR="00200AC2">
        <w:t>,</w:t>
      </w:r>
      <w:r w:rsidRPr="007B4F70">
        <w:t xml:space="preserve"> it may be possible to exclude it</w:t>
      </w:r>
      <w:r w:rsidR="00200AC2">
        <w:t xml:space="preserve"> (see </w:t>
      </w:r>
      <w:r w:rsidR="00200AC2" w:rsidRPr="008037D1">
        <w:rPr>
          <w:b/>
          <w:bCs/>
          <w:u w:val="single"/>
        </w:rPr>
        <w:fldChar w:fldCharType="begin"/>
      </w:r>
      <w:r w:rsidR="00200AC2" w:rsidRPr="008037D1">
        <w:rPr>
          <w:b/>
          <w:bCs/>
          <w:u w:val="single"/>
        </w:rPr>
        <w:instrText xml:space="preserve"> REF _Ref137635416 \h  \* MERGEFORMAT </w:instrText>
      </w:r>
      <w:r w:rsidR="00200AC2" w:rsidRPr="008037D1">
        <w:rPr>
          <w:b/>
          <w:bCs/>
          <w:u w:val="single"/>
        </w:rPr>
      </w:r>
      <w:r w:rsidR="00200AC2" w:rsidRPr="008037D1">
        <w:rPr>
          <w:b/>
          <w:bCs/>
          <w:u w:val="single"/>
        </w:rPr>
        <w:fldChar w:fldCharType="separate"/>
      </w:r>
      <w:r w:rsidR="00C52465" w:rsidRPr="008037D1">
        <w:rPr>
          <w:b/>
          <w:bCs/>
          <w:u w:val="single"/>
        </w:rPr>
        <w:t>Materiality</w:t>
      </w:r>
      <w:r w:rsidR="00200AC2" w:rsidRPr="008037D1">
        <w:rPr>
          <w:b/>
          <w:bCs/>
          <w:u w:val="single"/>
        </w:rPr>
        <w:fldChar w:fldCharType="end"/>
      </w:r>
      <w:r w:rsidR="00200AC2">
        <w:t>)</w:t>
      </w:r>
    </w:p>
    <w:p w14:paraId="3E3934AF" w14:textId="458B4D07" w:rsidR="00200AC2" w:rsidRDefault="00200AC2">
      <w:pPr>
        <w:pStyle w:val="Bullet1"/>
      </w:pPr>
      <w:r>
        <w:t>r</w:t>
      </w:r>
      <w:r w:rsidRPr="007B4F70">
        <w:t xml:space="preserve">eport </w:t>
      </w:r>
      <w:r w:rsidR="001823D8" w:rsidRPr="007B4F70">
        <w:t>an estimate</w:t>
      </w:r>
      <w:r>
        <w:t xml:space="preserve"> – include </w:t>
      </w:r>
      <w:r w:rsidR="001823D8" w:rsidRPr="007B4F70">
        <w:t>the assumptions and methods used to determine th</w:t>
      </w:r>
      <w:r>
        <w:t>e</w:t>
      </w:r>
      <w:r w:rsidR="001823D8" w:rsidRPr="007B4F70">
        <w:t xml:space="preserve"> estimate</w:t>
      </w:r>
    </w:p>
    <w:p w14:paraId="7DF84686" w14:textId="40E1974D" w:rsidR="001823D8" w:rsidRPr="007B4F70" w:rsidRDefault="001823D8" w:rsidP="008037D1">
      <w:pPr>
        <w:pStyle w:val="Bullet1"/>
      </w:pPr>
      <w:r w:rsidRPr="007B4F70">
        <w:t>where an estimat</w:t>
      </w:r>
      <w:r w:rsidR="00200AC2">
        <w:t>e</w:t>
      </w:r>
      <w:r w:rsidRPr="007B4F70">
        <w:t xml:space="preserve"> is </w:t>
      </w:r>
      <w:r w:rsidR="00200AC2">
        <w:t>not feasible</w:t>
      </w:r>
      <w:r w:rsidRPr="007B4F70">
        <w:t>,</w:t>
      </w:r>
      <w:r w:rsidR="00200AC2">
        <w:t xml:space="preserve"> p</w:t>
      </w:r>
      <w:r w:rsidRPr="007B4F70">
        <w:t>rovide an explanatory note on planned activities to improve data collection for future annual reports.</w:t>
      </w:r>
    </w:p>
    <w:p w14:paraId="615B5240" w14:textId="77777777" w:rsidR="00240E24" w:rsidRDefault="00240E24" w:rsidP="008037D1">
      <w:pPr>
        <w:pStyle w:val="Heading3"/>
      </w:pPr>
      <w:r>
        <w:t>Guidance on reporting estimates</w:t>
      </w:r>
    </w:p>
    <w:p w14:paraId="2F329E91" w14:textId="29BB14AB" w:rsidR="00F613CB" w:rsidRDefault="0039788A" w:rsidP="0039788A">
      <w:pPr>
        <w:pStyle w:val="Body"/>
      </w:pPr>
      <w:r w:rsidRPr="0039788A">
        <w:t>Estimates may be needed for individual activities whe</w:t>
      </w:r>
      <w:r w:rsidR="00F613CB">
        <w:t>n</w:t>
      </w:r>
      <w:r w:rsidRPr="0039788A">
        <w:t xml:space="preserve"> it is </w:t>
      </w:r>
      <w:r w:rsidR="00F613CB">
        <w:t xml:space="preserve">not </w:t>
      </w:r>
      <w:r w:rsidR="00F613CB" w:rsidRPr="0039788A">
        <w:t>practica</w:t>
      </w:r>
      <w:r w:rsidR="00F613CB">
        <w:t>l</w:t>
      </w:r>
      <w:r w:rsidR="00F613CB" w:rsidRPr="0039788A">
        <w:t xml:space="preserve"> </w:t>
      </w:r>
      <w:r w:rsidRPr="0039788A">
        <w:t>to collect data or data is not yet available.</w:t>
      </w:r>
    </w:p>
    <w:p w14:paraId="68FD706F" w14:textId="12250A8B" w:rsidR="00F613CB" w:rsidRDefault="00F766B2" w:rsidP="0039788A">
      <w:pPr>
        <w:pStyle w:val="Body"/>
      </w:pPr>
      <w:r>
        <w:t xml:space="preserve">Missing data can be estimated using data from the same period </w:t>
      </w:r>
      <w:r w:rsidR="00F613CB">
        <w:t xml:space="preserve">of </w:t>
      </w:r>
      <w:r>
        <w:t xml:space="preserve">the </w:t>
      </w:r>
      <w:r w:rsidR="00F613CB">
        <w:t xml:space="preserve">previous </w:t>
      </w:r>
      <w:r>
        <w:t xml:space="preserve">year or actual data from the current year. </w:t>
      </w:r>
      <w:r w:rsidR="00F613CB">
        <w:t xml:space="preserve">Only use </w:t>
      </w:r>
      <w:r>
        <w:t xml:space="preserve">this approach if </w:t>
      </w:r>
      <w:r w:rsidR="00F613CB">
        <w:t xml:space="preserve">the data of </w:t>
      </w:r>
      <w:r>
        <w:t xml:space="preserve">a few indicators are </w:t>
      </w:r>
      <w:r w:rsidR="00F613CB">
        <w:t>affected</w:t>
      </w:r>
      <w:r>
        <w:t>.</w:t>
      </w:r>
    </w:p>
    <w:p w14:paraId="72119615" w14:textId="00A14773" w:rsidR="00F613CB" w:rsidRDefault="0039788A" w:rsidP="0039788A">
      <w:pPr>
        <w:pStyle w:val="Body"/>
      </w:pPr>
      <w:r w:rsidRPr="0039788A">
        <w:t xml:space="preserve">Estimates and omissions should be clearly documented. </w:t>
      </w:r>
      <w:r w:rsidR="00F613CB">
        <w:t>Make sure it is clear:</w:t>
      </w:r>
    </w:p>
    <w:p w14:paraId="6DD01691" w14:textId="6D965724" w:rsidR="00F613CB" w:rsidRDefault="0039788A" w:rsidP="00F613CB">
      <w:pPr>
        <w:pStyle w:val="Bullet1"/>
      </w:pPr>
      <w:r w:rsidRPr="0039788A">
        <w:t>what is being reported</w:t>
      </w:r>
    </w:p>
    <w:p w14:paraId="3299E207" w14:textId="3B99EADA" w:rsidR="00F613CB" w:rsidRDefault="0039788A" w:rsidP="00F613CB">
      <w:pPr>
        <w:pStyle w:val="Bullet1"/>
      </w:pPr>
      <w:r w:rsidRPr="0039788A">
        <w:t>what the reported data is based on</w:t>
      </w:r>
    </w:p>
    <w:p w14:paraId="495B7299" w14:textId="098446B9" w:rsidR="0039788A" w:rsidRPr="0039788A" w:rsidRDefault="0039788A" w:rsidP="008037D1">
      <w:pPr>
        <w:pStyle w:val="Bullet1"/>
      </w:pPr>
      <w:r w:rsidRPr="0039788A">
        <w:t>what is missing.</w:t>
      </w:r>
    </w:p>
    <w:p w14:paraId="54483EAF" w14:textId="1AD380E5" w:rsidR="0039788A" w:rsidRPr="0039788A" w:rsidRDefault="0039788A" w:rsidP="008037D1">
      <w:pPr>
        <w:pStyle w:val="Bodyafterbullets"/>
      </w:pPr>
      <w:r w:rsidRPr="0039788A">
        <w:t xml:space="preserve">The FRD 24 guidance documents </w:t>
      </w:r>
      <w:r w:rsidR="00F613CB">
        <w:t>include</w:t>
      </w:r>
      <w:r w:rsidR="00F613CB" w:rsidRPr="0039788A">
        <w:t xml:space="preserve"> </w:t>
      </w:r>
      <w:r w:rsidRPr="0039788A">
        <w:t>many methods for estimating indicators.</w:t>
      </w:r>
    </w:p>
    <w:p w14:paraId="72999703" w14:textId="62C782D4" w:rsidR="0039788A" w:rsidRPr="0039788A" w:rsidRDefault="0039788A" w:rsidP="0039788A">
      <w:pPr>
        <w:pStyle w:val="Body"/>
      </w:pPr>
      <w:r w:rsidRPr="0039788A">
        <w:t xml:space="preserve">The EDMS </w:t>
      </w:r>
      <w:r w:rsidR="00F613CB">
        <w:t xml:space="preserve">can </w:t>
      </w:r>
      <w:r w:rsidRPr="0039788A">
        <w:t>produce estimated data for time periods where actual data is not yet available through multiple methods</w:t>
      </w:r>
      <w:r w:rsidR="003F1292">
        <w:t>:</w:t>
      </w:r>
    </w:p>
    <w:p w14:paraId="09434D52" w14:textId="0F39FB76" w:rsidR="0039788A" w:rsidRPr="0039788A" w:rsidRDefault="00F613CB" w:rsidP="008037D1">
      <w:pPr>
        <w:pStyle w:val="Bullet1"/>
      </w:pPr>
      <w:r w:rsidRPr="008037D1">
        <w:rPr>
          <w:b/>
          <w:bCs/>
        </w:rPr>
        <w:t>s</w:t>
      </w:r>
      <w:r w:rsidR="0039788A" w:rsidRPr="008037D1">
        <w:rPr>
          <w:b/>
          <w:bCs/>
        </w:rPr>
        <w:t>easonal adjustment</w:t>
      </w:r>
      <w:r w:rsidR="0039788A" w:rsidRPr="0039788A">
        <w:t xml:space="preserve"> (default and preferred method): data is used from the same period in the previous year to calculate estimates, this allows for seasonal variances</w:t>
      </w:r>
    </w:p>
    <w:p w14:paraId="75FA06BF" w14:textId="3478B607" w:rsidR="0039788A" w:rsidRPr="0039788A" w:rsidRDefault="00F613CB" w:rsidP="008037D1">
      <w:pPr>
        <w:pStyle w:val="Bullet1"/>
      </w:pPr>
      <w:r w:rsidRPr="008037D1">
        <w:rPr>
          <w:b/>
          <w:bCs/>
        </w:rPr>
        <w:t>s</w:t>
      </w:r>
      <w:r w:rsidR="0039788A" w:rsidRPr="008037D1">
        <w:rPr>
          <w:b/>
          <w:bCs/>
        </w:rPr>
        <w:t>imple average</w:t>
      </w:r>
      <w:r w:rsidRPr="00F613CB">
        <w:t xml:space="preserve"> </w:t>
      </w:r>
      <w:r>
        <w:t>(</w:t>
      </w:r>
      <w:r w:rsidRPr="0039788A">
        <w:t>useful if there is only one ‘good’ record to use</w:t>
      </w:r>
      <w:r>
        <w:t>)</w:t>
      </w:r>
      <w:r w:rsidR="0039788A" w:rsidRPr="0039788A">
        <w:t>: select the date range to be used for calculating estimates</w:t>
      </w:r>
    </w:p>
    <w:p w14:paraId="13E1C3ED" w14:textId="3327AF44" w:rsidR="0039788A" w:rsidRPr="0039788A" w:rsidRDefault="00F613CB" w:rsidP="008037D1">
      <w:pPr>
        <w:pStyle w:val="Bullet1"/>
      </w:pPr>
      <w:r w:rsidRPr="008037D1">
        <w:rPr>
          <w:b/>
          <w:bCs/>
        </w:rPr>
        <w:t>t</w:t>
      </w:r>
      <w:r w:rsidR="0039788A" w:rsidRPr="008037D1">
        <w:rPr>
          <w:b/>
          <w:bCs/>
        </w:rPr>
        <w:t>hree-month window</w:t>
      </w:r>
      <w:r w:rsidR="0039788A" w:rsidRPr="0039788A">
        <w:t xml:space="preserve">: the last 3 months of data </w:t>
      </w:r>
      <w:r>
        <w:t>are</w:t>
      </w:r>
      <w:r w:rsidR="0039788A" w:rsidRPr="0039788A">
        <w:t xml:space="preserve"> used to calculate estimates</w:t>
      </w:r>
    </w:p>
    <w:p w14:paraId="57261C5C" w14:textId="2D0D87EB" w:rsidR="0039788A" w:rsidRDefault="00F613CB">
      <w:pPr>
        <w:pStyle w:val="Bullet1"/>
      </w:pPr>
      <w:r w:rsidRPr="008037D1">
        <w:rPr>
          <w:b/>
          <w:bCs/>
        </w:rPr>
        <w:t>six</w:t>
      </w:r>
      <w:r w:rsidR="0039788A" w:rsidRPr="008037D1">
        <w:rPr>
          <w:b/>
          <w:bCs/>
        </w:rPr>
        <w:t>-month window</w:t>
      </w:r>
      <w:r w:rsidR="0039788A" w:rsidRPr="0039788A">
        <w:t xml:space="preserve">: the last 6 months of data </w:t>
      </w:r>
      <w:r>
        <w:t>are</w:t>
      </w:r>
      <w:r w:rsidR="0039788A" w:rsidRPr="0039788A">
        <w:t xml:space="preserve"> used to calculate estimates.</w:t>
      </w:r>
    </w:p>
    <w:p w14:paraId="132F1F9D" w14:textId="48D0E73F" w:rsidR="00F613CB" w:rsidRPr="00F613CB" w:rsidRDefault="00F613CB" w:rsidP="009879DE">
      <w:pPr>
        <w:pStyle w:val="Bodyafterbullets"/>
      </w:pPr>
      <w:r>
        <w:t xml:space="preserve">Estimations are calculated automatically </w:t>
      </w:r>
      <w:r w:rsidRPr="003E37BF">
        <w:t>based on usage from previous consumption data.</w:t>
      </w:r>
      <w:r w:rsidRPr="0092750F">
        <w:t xml:space="preserve"> </w:t>
      </w:r>
      <w:r w:rsidRPr="0039788A">
        <w:t>The system replaces estimated data as actual data comes in.</w:t>
      </w:r>
    </w:p>
    <w:p w14:paraId="75F26E10" w14:textId="7B23FC5D" w:rsidR="00374410" w:rsidRDefault="00374410" w:rsidP="008037D1">
      <w:pPr>
        <w:pStyle w:val="Heading3"/>
      </w:pPr>
      <w:r>
        <w:t xml:space="preserve">Guidance on providing explanatory notes </w:t>
      </w:r>
      <w:r w:rsidR="00200AC2">
        <w:t xml:space="preserve">on </w:t>
      </w:r>
      <w:r>
        <w:t>future activities</w:t>
      </w:r>
    </w:p>
    <w:p w14:paraId="5588BD48" w14:textId="6A817F3E" w:rsidR="00F146D2" w:rsidRPr="00F146D2" w:rsidRDefault="00F146D2" w:rsidP="00F146D2">
      <w:pPr>
        <w:pStyle w:val="Body"/>
      </w:pPr>
      <w:r w:rsidRPr="00F146D2">
        <w:t>Whe</w:t>
      </w:r>
      <w:r w:rsidR="00F613CB">
        <w:t>n</w:t>
      </w:r>
      <w:r w:rsidRPr="00F146D2">
        <w:t xml:space="preserve"> it is </w:t>
      </w:r>
      <w:r w:rsidR="00E04F5F">
        <w:t>not feasible</w:t>
      </w:r>
      <w:r w:rsidR="00E04F5F" w:rsidRPr="00F146D2">
        <w:t xml:space="preserve"> </w:t>
      </w:r>
      <w:r w:rsidRPr="00F146D2">
        <w:t>to report either data or an estimat</w:t>
      </w:r>
      <w:r w:rsidR="00E04F5F">
        <w:t>e</w:t>
      </w:r>
      <w:r w:rsidRPr="00F146D2">
        <w:t xml:space="preserve">, </w:t>
      </w:r>
      <w:r w:rsidR="00521851">
        <w:t xml:space="preserve">you can include </w:t>
      </w:r>
      <w:r w:rsidRPr="00F146D2">
        <w:t>an explanatory note on planned activities to improve data collection for future annual reports. For example:</w:t>
      </w:r>
    </w:p>
    <w:p w14:paraId="1AB7A2DF" w14:textId="7A3FD007" w:rsidR="003C720D" w:rsidRDefault="003C720D" w:rsidP="008037D1">
      <w:pPr>
        <w:pStyle w:val="Bullet1"/>
      </w:pPr>
      <w:r w:rsidRPr="003C720D">
        <w:t xml:space="preserve">‘Data </w:t>
      </w:r>
      <w:r w:rsidR="009A550C">
        <w:t>on medical PVC</w:t>
      </w:r>
      <w:r w:rsidR="001F43E9">
        <w:t xml:space="preserve"> recycling</w:t>
      </w:r>
      <w:r w:rsidRPr="003C720D">
        <w:t xml:space="preserve"> is currently not collected. </w:t>
      </w:r>
      <w:r w:rsidR="00E04F5F">
        <w:t>T</w:t>
      </w:r>
      <w:r w:rsidRPr="003C720D">
        <w:t xml:space="preserve">he organisation is planning to </w:t>
      </w:r>
      <w:r w:rsidR="00E04F5F">
        <w:t>use</w:t>
      </w:r>
      <w:r w:rsidRPr="003C720D">
        <w:t xml:space="preserve"> the Department of Health’s EDMS, which uploads this data</w:t>
      </w:r>
      <w:r w:rsidR="00E04F5F">
        <w:t>.</w:t>
      </w:r>
      <w:r w:rsidRPr="003C720D">
        <w:t xml:space="preserve"> </w:t>
      </w:r>
      <w:r w:rsidR="00E04F5F">
        <w:t>T</w:t>
      </w:r>
      <w:r w:rsidR="00E04F5F" w:rsidRPr="003C720D">
        <w:t xml:space="preserve">he </w:t>
      </w:r>
      <w:r w:rsidRPr="003C720D">
        <w:t>data gap will be addressed and we will be able to report on this indicator in the next financial year.</w:t>
      </w:r>
      <w:r w:rsidR="00E04F5F">
        <w:t>’</w:t>
      </w:r>
    </w:p>
    <w:p w14:paraId="13148D7E" w14:textId="559B9652" w:rsidR="00F146D2" w:rsidRPr="00DC6B75" w:rsidRDefault="00F146D2" w:rsidP="00520DC3">
      <w:pPr>
        <w:pStyle w:val="Bullet1"/>
      </w:pPr>
      <w:r w:rsidRPr="00DC6B75">
        <w:t>‘</w:t>
      </w:r>
      <w:r w:rsidR="00E04F5F" w:rsidRPr="00DC6B75">
        <w:t xml:space="preserve">Some </w:t>
      </w:r>
      <w:r w:rsidRPr="00DC6B75">
        <w:t xml:space="preserve">of the organisation’s older small-scale solar systems </w:t>
      </w:r>
      <w:r w:rsidR="00E04F5F" w:rsidRPr="00DC6B75">
        <w:t xml:space="preserve">do </w:t>
      </w:r>
      <w:r w:rsidRPr="00DC6B75">
        <w:t xml:space="preserve">not </w:t>
      </w:r>
      <w:r w:rsidR="00E04F5F" w:rsidRPr="00DC6B75">
        <w:t xml:space="preserve">have data monitoring </w:t>
      </w:r>
      <w:r w:rsidRPr="00DC6B75">
        <w:t>installed. These will be progressively retrofitted when these systems are upgraded.’</w:t>
      </w:r>
    </w:p>
    <w:p w14:paraId="0D4D3D3E" w14:textId="506180BA" w:rsidR="008B37DA" w:rsidRPr="00DC6B75" w:rsidRDefault="006B2257" w:rsidP="008037D1">
      <w:pPr>
        <w:pStyle w:val="Bullet1"/>
      </w:pPr>
      <w:r w:rsidRPr="00DC6B75">
        <w:t>‘</w:t>
      </w:r>
      <w:r w:rsidR="008B37DA" w:rsidRPr="00DC6B75">
        <w:t xml:space="preserve">Some specialist recycling waste streams are collected by charities </w:t>
      </w:r>
      <w:r w:rsidR="00E04F5F" w:rsidRPr="00DC6B75">
        <w:t xml:space="preserve">that </w:t>
      </w:r>
      <w:r w:rsidR="008B37DA" w:rsidRPr="00DC6B75">
        <w:t>do not have the capacity to provide data. The organisation will investigate viable opportunities to collect this data</w:t>
      </w:r>
      <w:r w:rsidRPr="00DC6B75">
        <w:t>.’</w:t>
      </w:r>
    </w:p>
    <w:p w14:paraId="160865D8" w14:textId="1FFBA23A" w:rsidR="00853F27" w:rsidRPr="00853F27" w:rsidRDefault="00853F27" w:rsidP="008037D1">
      <w:pPr>
        <w:pStyle w:val="Heading2"/>
        <w:numPr>
          <w:ilvl w:val="1"/>
          <w:numId w:val="91"/>
        </w:numPr>
        <w:rPr>
          <w:rFonts w:eastAsia="Times"/>
        </w:rPr>
      </w:pPr>
      <w:bookmarkStart w:id="28" w:name="_Ref137632395"/>
      <w:bookmarkStart w:id="29" w:name="_Toc138239111"/>
      <w:r w:rsidRPr="00853F27">
        <w:rPr>
          <w:rFonts w:eastAsia="Times"/>
        </w:rPr>
        <w:t>Simple disclosure (Tier 4 entities)</w:t>
      </w:r>
      <w:bookmarkEnd w:id="28"/>
      <w:bookmarkEnd w:id="29"/>
    </w:p>
    <w:p w14:paraId="51408474" w14:textId="77777777" w:rsidR="00E04F5F" w:rsidRDefault="00853F27" w:rsidP="00853F27">
      <w:pPr>
        <w:pStyle w:val="Body"/>
      </w:pPr>
      <w:r w:rsidRPr="00853F27">
        <w:t>Tier 4 entities have minimal FRD 24 reporting requirements.</w:t>
      </w:r>
    </w:p>
    <w:p w14:paraId="1003F5C8" w14:textId="340D651A" w:rsidR="00E04F5F" w:rsidRDefault="00853F27" w:rsidP="00853F27">
      <w:pPr>
        <w:pStyle w:val="Body"/>
      </w:pPr>
      <w:r w:rsidRPr="00853F27">
        <w:t xml:space="preserve">They </w:t>
      </w:r>
      <w:r w:rsidR="00E04F5F">
        <w:t xml:space="preserve">only need </w:t>
      </w:r>
      <w:r w:rsidRPr="00853F27">
        <w:t>to report on</w:t>
      </w:r>
      <w:r w:rsidR="00E04F5F">
        <w:t>:</w:t>
      </w:r>
    </w:p>
    <w:p w14:paraId="3710001F" w14:textId="2E00EFBC" w:rsidR="00E04F5F" w:rsidRDefault="00853F27" w:rsidP="00E04F5F">
      <w:pPr>
        <w:pStyle w:val="Bullet1"/>
      </w:pPr>
      <w:r w:rsidRPr="00853F27">
        <w:t>electricity consumption (E</w:t>
      </w:r>
      <w:r w:rsidR="00DC654A">
        <w:t>L</w:t>
      </w:r>
      <w:r w:rsidRPr="00853F27">
        <w:t>1</w:t>
      </w:r>
      <w:r w:rsidR="00E04F5F" w:rsidRPr="00853F27">
        <w:t>)</w:t>
      </w:r>
    </w:p>
    <w:p w14:paraId="36526CA2" w14:textId="74F9D5C3" w:rsidR="00E04F5F" w:rsidRDefault="00853F27" w:rsidP="00E04F5F">
      <w:pPr>
        <w:pStyle w:val="Bullet1"/>
      </w:pPr>
      <w:r w:rsidRPr="00853F27">
        <w:t>electricity offsets (E</w:t>
      </w:r>
      <w:r w:rsidR="00DC654A">
        <w:t>L</w:t>
      </w:r>
      <w:r w:rsidRPr="00853F27">
        <w:t>4</w:t>
      </w:r>
      <w:r w:rsidR="00E04F5F" w:rsidRPr="00853F27">
        <w:t>)</w:t>
      </w:r>
    </w:p>
    <w:p w14:paraId="435D60D1" w14:textId="1EED1440" w:rsidR="00E04F5F" w:rsidRDefault="00853F27" w:rsidP="00E04F5F">
      <w:pPr>
        <w:pStyle w:val="Bullet1"/>
      </w:pPr>
      <w:r w:rsidRPr="00853F27">
        <w:t>fleet (T2)</w:t>
      </w:r>
    </w:p>
    <w:p w14:paraId="5B37C3B1" w14:textId="082EA0E6" w:rsidR="00853F27" w:rsidRPr="00853F27" w:rsidRDefault="00853F27" w:rsidP="008037D1">
      <w:pPr>
        <w:pStyle w:val="Bullet1"/>
      </w:pPr>
      <w:r w:rsidRPr="00853F27">
        <w:t>office accommodation (B3).</w:t>
      </w:r>
    </w:p>
    <w:p w14:paraId="055B4E4C" w14:textId="29B444F5" w:rsidR="00853F27" w:rsidRDefault="00E04F5F" w:rsidP="008037D1">
      <w:pPr>
        <w:pStyle w:val="Bodyafterbullets"/>
        <w:rPr>
          <w:lang w:val="en-US"/>
        </w:rPr>
      </w:pPr>
      <w:r>
        <w:t xml:space="preserve">If </w:t>
      </w:r>
      <w:r w:rsidR="00853F27" w:rsidRPr="00853F27">
        <w:t xml:space="preserve">all material consumption across these areas is sourced through central </w:t>
      </w:r>
      <w:r w:rsidR="00131B72">
        <w:t>purchasing</w:t>
      </w:r>
      <w:r w:rsidR="00131B72" w:rsidRPr="00853F27">
        <w:t xml:space="preserve"> </w:t>
      </w:r>
      <w:r w:rsidR="00853F27" w:rsidRPr="00853F27">
        <w:t xml:space="preserve">arrangements, Tier 4 entities can </w:t>
      </w:r>
      <w:r>
        <w:t xml:space="preserve">meet </w:t>
      </w:r>
      <w:r w:rsidR="00853F27" w:rsidRPr="00853F27">
        <w:rPr>
          <w:lang w:val="en-US"/>
        </w:rPr>
        <w:t>FRD 24 with a simple disclosure in their annual report</w:t>
      </w:r>
      <w:r>
        <w:rPr>
          <w:lang w:val="en-US"/>
        </w:rPr>
        <w:t>.</w:t>
      </w:r>
    </w:p>
    <w:p w14:paraId="3D3891E5" w14:textId="12B0CAF6" w:rsidR="00A4176B" w:rsidRPr="00317823" w:rsidRDefault="005B235A" w:rsidP="00853F27">
      <w:pPr>
        <w:pStyle w:val="Body"/>
        <w:rPr>
          <w:lang w:val="en-US"/>
        </w:rPr>
      </w:pPr>
      <w:r w:rsidRPr="00317823">
        <w:rPr>
          <w:lang w:val="en-US"/>
        </w:rPr>
        <w:t xml:space="preserve">No data is required </w:t>
      </w:r>
      <w:r w:rsidR="00DA5BD3">
        <w:rPr>
          <w:lang w:val="en-US"/>
        </w:rPr>
        <w:t xml:space="preserve">to be provided </w:t>
      </w:r>
      <w:r w:rsidR="000920C7" w:rsidRPr="00317823">
        <w:rPr>
          <w:lang w:val="en-US"/>
        </w:rPr>
        <w:t>in a simple disclosure</w:t>
      </w:r>
      <w:r w:rsidR="00F27052" w:rsidRPr="00317823">
        <w:rPr>
          <w:lang w:val="en-US"/>
        </w:rPr>
        <w:t xml:space="preserve">. A single </w:t>
      </w:r>
      <w:r w:rsidR="00C50818" w:rsidRPr="00317823">
        <w:rPr>
          <w:lang w:val="en-US"/>
        </w:rPr>
        <w:t xml:space="preserve">paragraph </w:t>
      </w:r>
      <w:r w:rsidR="00991F49" w:rsidRPr="00317823">
        <w:rPr>
          <w:lang w:val="en-US"/>
        </w:rPr>
        <w:t xml:space="preserve">with </w:t>
      </w:r>
      <w:r w:rsidR="00D75523" w:rsidRPr="00317823">
        <w:rPr>
          <w:lang w:val="en-US"/>
        </w:rPr>
        <w:t>qualitative</w:t>
      </w:r>
      <w:r w:rsidR="00991F49" w:rsidRPr="00317823">
        <w:rPr>
          <w:lang w:val="en-US"/>
        </w:rPr>
        <w:t xml:space="preserve"> </w:t>
      </w:r>
      <w:r w:rsidR="0067035F" w:rsidRPr="00317823">
        <w:rPr>
          <w:lang w:val="en-US"/>
        </w:rPr>
        <w:t xml:space="preserve">information is sufficient. </w:t>
      </w:r>
      <w:r w:rsidR="002C3C3D" w:rsidRPr="00317823">
        <w:rPr>
          <w:lang w:val="en-US"/>
        </w:rPr>
        <w:t>An example includes:</w:t>
      </w:r>
    </w:p>
    <w:p w14:paraId="6FE3F6F6" w14:textId="78168889" w:rsidR="00F03C63" w:rsidRPr="00317823" w:rsidRDefault="007933F1" w:rsidP="00352B30">
      <w:pPr>
        <w:pStyle w:val="Bullet1"/>
        <w:spacing w:after="120"/>
      </w:pPr>
      <w:r w:rsidRPr="00317823">
        <w:t xml:space="preserve">‘The </w:t>
      </w:r>
      <w:r w:rsidR="00622565" w:rsidRPr="00317823">
        <w:t xml:space="preserve">Office </w:t>
      </w:r>
      <w:r w:rsidR="000A5ACE" w:rsidRPr="00317823">
        <w:t xml:space="preserve">of the Science and </w:t>
      </w:r>
      <w:r w:rsidR="00057F5B" w:rsidRPr="00317823">
        <w:t xml:space="preserve">Technology </w:t>
      </w:r>
      <w:r w:rsidR="00021F00">
        <w:t>R</w:t>
      </w:r>
      <w:r w:rsidR="00057F5B" w:rsidRPr="00317823">
        <w:t xml:space="preserve">egulator </w:t>
      </w:r>
      <w:r w:rsidR="003864D1" w:rsidRPr="00317823">
        <w:t xml:space="preserve">has a </w:t>
      </w:r>
      <w:r w:rsidR="00210D19" w:rsidRPr="00317823">
        <w:t xml:space="preserve">Service Level </w:t>
      </w:r>
      <w:r w:rsidR="00E02413" w:rsidRPr="00317823">
        <w:t>Agreement in place</w:t>
      </w:r>
      <w:r w:rsidR="00DF7EAA" w:rsidRPr="00317823">
        <w:t xml:space="preserve"> with the Department </w:t>
      </w:r>
      <w:r w:rsidR="00402EEC" w:rsidRPr="00317823">
        <w:t xml:space="preserve">of Technology </w:t>
      </w:r>
      <w:r w:rsidR="00F1762F" w:rsidRPr="00317823">
        <w:t xml:space="preserve">for the provision </w:t>
      </w:r>
      <w:r w:rsidR="00FE6DC0" w:rsidRPr="00317823">
        <w:t xml:space="preserve">of office accommodation </w:t>
      </w:r>
      <w:r w:rsidR="001B6223" w:rsidRPr="00317823">
        <w:t xml:space="preserve">and fleet services. </w:t>
      </w:r>
      <w:r w:rsidR="007356C8" w:rsidRPr="00317823">
        <w:t xml:space="preserve">Data on environmental </w:t>
      </w:r>
      <w:r w:rsidR="00246918" w:rsidRPr="00317823">
        <w:t xml:space="preserve">impacts </w:t>
      </w:r>
      <w:r w:rsidR="0005786B" w:rsidRPr="00317823">
        <w:t xml:space="preserve">is included </w:t>
      </w:r>
      <w:r w:rsidR="006D51C6" w:rsidRPr="00317823">
        <w:t xml:space="preserve">in the Department </w:t>
      </w:r>
      <w:r w:rsidR="001D57CD" w:rsidRPr="00317823">
        <w:t xml:space="preserve">of Technology’s </w:t>
      </w:r>
      <w:r w:rsidR="00973939" w:rsidRPr="00317823">
        <w:t>annual report</w:t>
      </w:r>
      <w:r w:rsidR="00C92F27" w:rsidRPr="00317823">
        <w:t>.’</w:t>
      </w:r>
    </w:p>
    <w:p w14:paraId="59D89DFC" w14:textId="1FDF0D4E" w:rsidR="00E04F5F" w:rsidRDefault="00853F27" w:rsidP="00853F27">
      <w:pPr>
        <w:pStyle w:val="Body"/>
      </w:pPr>
      <w:r w:rsidRPr="00853F27">
        <w:t xml:space="preserve">Tier 4 organisations are likely </w:t>
      </w:r>
      <w:r w:rsidR="004A5983">
        <w:t xml:space="preserve">already </w:t>
      </w:r>
      <w:r w:rsidRPr="00853F27">
        <w:t xml:space="preserve">part of </w:t>
      </w:r>
      <w:r w:rsidR="00E04F5F" w:rsidRPr="00853F27">
        <w:t xml:space="preserve">state purchase contracts </w:t>
      </w:r>
      <w:r w:rsidRPr="00853F27">
        <w:t xml:space="preserve">or </w:t>
      </w:r>
      <w:proofErr w:type="spellStart"/>
      <w:r w:rsidRPr="00853F27">
        <w:t>HealthShare</w:t>
      </w:r>
      <w:proofErr w:type="spellEnd"/>
      <w:r w:rsidRPr="00853F27">
        <w:t xml:space="preserve"> Victoria</w:t>
      </w:r>
      <w:r w:rsidR="001343BF">
        <w:t xml:space="preserve"> (HSV)</w:t>
      </w:r>
      <w:r w:rsidRPr="00853F27">
        <w:t xml:space="preserve"> supply agreements.</w:t>
      </w:r>
    </w:p>
    <w:p w14:paraId="4BDFB759" w14:textId="7B492BA2" w:rsidR="00E04F5F" w:rsidRDefault="00853F27" w:rsidP="00853F27">
      <w:pPr>
        <w:pStyle w:val="Body"/>
      </w:pPr>
      <w:r w:rsidRPr="00853F27">
        <w:t xml:space="preserve">If your entity is not, </w:t>
      </w:r>
      <w:r w:rsidR="00513F60">
        <w:t>and</w:t>
      </w:r>
      <w:r w:rsidR="00C02AB5">
        <w:t xml:space="preserve"> you are using the EDMS, </w:t>
      </w:r>
      <w:r w:rsidR="00E04F5F">
        <w:t xml:space="preserve">send </w:t>
      </w:r>
      <w:r w:rsidRPr="00853F27">
        <w:t>a letter of authority to your entity’s supplier to formally request for the EDMS to collect and report on your usage data.</w:t>
      </w:r>
    </w:p>
    <w:p w14:paraId="1AD769CA" w14:textId="37A343D0" w:rsidR="00853F27" w:rsidRPr="00853F27" w:rsidRDefault="00853F27" w:rsidP="00853F27">
      <w:pPr>
        <w:pStyle w:val="Body"/>
        <w:rPr>
          <w:lang w:val="en-US"/>
        </w:rPr>
      </w:pPr>
      <w:r w:rsidRPr="00853F27">
        <w:t>If you have a local agreement in place and receive bills, you will need to enter the relevant data manually into the EDMS.</w:t>
      </w:r>
      <w:r w:rsidRPr="00853F27">
        <w:rPr>
          <w:lang w:val="en-US"/>
        </w:rPr>
        <w:t xml:space="preserve"> </w:t>
      </w:r>
    </w:p>
    <w:p w14:paraId="3C2037B0" w14:textId="31FAE566" w:rsidR="00853F27" w:rsidRDefault="00853F27" w:rsidP="00E267A2">
      <w:pPr>
        <w:pStyle w:val="Body"/>
        <w:rPr>
          <w:lang w:val="en-US"/>
        </w:rPr>
      </w:pPr>
      <w:r w:rsidRPr="00BC4DE4">
        <w:t xml:space="preserve">The ‘Tier 4 entity alternative simple disclosure approach’ </w:t>
      </w:r>
      <w:r w:rsidR="00E04F5F" w:rsidRPr="00BC4DE4">
        <w:t xml:space="preserve">section of </w:t>
      </w:r>
      <w:r w:rsidR="00E04F5F" w:rsidRPr="00BC4DE4">
        <w:rPr>
          <w:i/>
          <w:iCs/>
        </w:rPr>
        <w:t>Guidance on environment</w:t>
      </w:r>
      <w:r w:rsidR="00D15C8E" w:rsidRPr="00BC4DE4">
        <w:rPr>
          <w:i/>
          <w:iCs/>
        </w:rPr>
        <w:t>al</w:t>
      </w:r>
      <w:r w:rsidR="00E04F5F" w:rsidRPr="00BC4DE4">
        <w:rPr>
          <w:i/>
          <w:iCs/>
        </w:rPr>
        <w:t xml:space="preserve"> disclosures under FRD 24</w:t>
      </w:r>
      <w:r w:rsidRPr="00BC4DE4">
        <w:t xml:space="preserve"> </w:t>
      </w:r>
      <w:r w:rsidR="00E04F5F" w:rsidRPr="00BC4DE4">
        <w:t xml:space="preserve">has </w:t>
      </w:r>
      <w:r w:rsidRPr="00BC4DE4">
        <w:rPr>
          <w:lang w:val="en-US"/>
        </w:rPr>
        <w:t xml:space="preserve">more information </w:t>
      </w:r>
      <w:r w:rsidR="00E04F5F" w:rsidRPr="00BC4DE4">
        <w:rPr>
          <w:lang w:val="en-US"/>
        </w:rPr>
        <w:t xml:space="preserve">on </w:t>
      </w:r>
      <w:r w:rsidRPr="00BC4DE4">
        <w:rPr>
          <w:lang w:val="en-US"/>
        </w:rPr>
        <w:t>and examples of simple disclosure</w:t>
      </w:r>
      <w:r w:rsidR="00E04F5F" w:rsidRPr="00BC4DE4">
        <w:rPr>
          <w:lang w:val="en-US"/>
        </w:rPr>
        <w:t>s</w:t>
      </w:r>
      <w:r w:rsidRPr="00BC4DE4">
        <w:rPr>
          <w:lang w:val="en-US"/>
        </w:rPr>
        <w:t>.</w:t>
      </w:r>
    </w:p>
    <w:p w14:paraId="18448856" w14:textId="53E9FA8D" w:rsidR="00C1701B" w:rsidRDefault="00C1701B" w:rsidP="008037D1">
      <w:pPr>
        <w:pStyle w:val="Body"/>
        <w:rPr>
          <w:lang w:val="en-US"/>
        </w:rPr>
      </w:pPr>
      <w:r>
        <w:rPr>
          <w:lang w:val="en-US"/>
        </w:rPr>
        <w:br w:type="page"/>
      </w:r>
    </w:p>
    <w:p w14:paraId="57F7B29A" w14:textId="098D7E57" w:rsidR="00853F27" w:rsidRPr="00853F27" w:rsidRDefault="00853F27" w:rsidP="008037D1">
      <w:pPr>
        <w:pStyle w:val="Heading1"/>
        <w:numPr>
          <w:ilvl w:val="0"/>
          <w:numId w:val="91"/>
        </w:numPr>
      </w:pPr>
      <w:bookmarkStart w:id="30" w:name="_Toc137566816"/>
      <w:bookmarkStart w:id="31" w:name="_Toc137721895"/>
      <w:bookmarkStart w:id="32" w:name="_Toc137727397"/>
      <w:bookmarkStart w:id="33" w:name="_Toc138239112"/>
      <w:bookmarkEnd w:id="30"/>
      <w:bookmarkEnd w:id="31"/>
      <w:bookmarkEnd w:id="32"/>
      <w:r w:rsidRPr="00853F27">
        <w:t xml:space="preserve">Department of Health’s </w:t>
      </w:r>
      <w:r w:rsidR="002F68B6">
        <w:t>EDMS</w:t>
      </w:r>
      <w:bookmarkEnd w:id="33"/>
    </w:p>
    <w:p w14:paraId="548B9131" w14:textId="56ACC7A3" w:rsidR="00853F27" w:rsidRPr="00853F27" w:rsidRDefault="001343BF" w:rsidP="008037D1">
      <w:pPr>
        <w:pStyle w:val="Heading2"/>
        <w:numPr>
          <w:ilvl w:val="1"/>
          <w:numId w:val="91"/>
        </w:numPr>
        <w:rPr>
          <w:rFonts w:eastAsia="Times"/>
        </w:rPr>
      </w:pPr>
      <w:bookmarkStart w:id="34" w:name="_Toc138239113"/>
      <w:r>
        <w:rPr>
          <w:rFonts w:eastAsia="Times"/>
        </w:rPr>
        <w:t>About the EDMS</w:t>
      </w:r>
      <w:bookmarkEnd w:id="34"/>
    </w:p>
    <w:p w14:paraId="094DD713" w14:textId="3D73A1CA" w:rsidR="00853F27" w:rsidRPr="00853F27" w:rsidRDefault="00853F27" w:rsidP="00853F27">
      <w:pPr>
        <w:pStyle w:val="Body"/>
      </w:pPr>
      <w:r w:rsidRPr="00853F27">
        <w:t xml:space="preserve">The Department of Health has an environmental data management system (EDMS) </w:t>
      </w:r>
      <w:r w:rsidR="002F68B6">
        <w:t>that</w:t>
      </w:r>
      <w:r w:rsidR="002F68B6" w:rsidRPr="00853F27">
        <w:t xml:space="preserve"> </w:t>
      </w:r>
      <w:r w:rsidRPr="00853F27">
        <w:t xml:space="preserve">standardises data collection, management and reporting across the health system. </w:t>
      </w:r>
    </w:p>
    <w:p w14:paraId="0A40B851" w14:textId="1C9B6CE8" w:rsidR="00853F27" w:rsidRPr="00853F27" w:rsidRDefault="00853F27" w:rsidP="00853F27">
      <w:pPr>
        <w:pStyle w:val="Body"/>
      </w:pPr>
      <w:r w:rsidRPr="00853F27">
        <w:t xml:space="preserve">The EDMS generates a standard public environment report that meets most (but </w:t>
      </w:r>
      <w:r w:rsidRPr="008037D1">
        <w:rPr>
          <w:rStyle w:val="Strong"/>
        </w:rPr>
        <w:t>not all</w:t>
      </w:r>
      <w:r w:rsidRPr="00853F27">
        <w:t xml:space="preserve">) of the mandatory FRD 24 reporting requirements for hospitals and health services. The generated report </w:t>
      </w:r>
      <w:r w:rsidR="0055726B">
        <w:t>records</w:t>
      </w:r>
      <w:r w:rsidR="00A754DF">
        <w:t xml:space="preserve"> the </w:t>
      </w:r>
      <w:r w:rsidRPr="00853F27">
        <w:t xml:space="preserve">last three years of data </w:t>
      </w:r>
      <w:r w:rsidR="00A754DF">
        <w:t xml:space="preserve">against </w:t>
      </w:r>
      <w:r w:rsidR="0066073C" w:rsidRPr="008037D1">
        <w:rPr>
          <w:rStyle w:val="Strong"/>
        </w:rPr>
        <w:t>most</w:t>
      </w:r>
      <w:r w:rsidR="0066073C">
        <w:t xml:space="preserve"> of the</w:t>
      </w:r>
      <w:r w:rsidR="00A754DF" w:rsidRPr="00853F27">
        <w:t xml:space="preserve"> </w:t>
      </w:r>
      <w:r w:rsidRPr="00853F27">
        <w:t>FRD 24 indicators.</w:t>
      </w:r>
    </w:p>
    <w:p w14:paraId="5C99AF70" w14:textId="77777777" w:rsidR="001343BF" w:rsidRDefault="00853F27" w:rsidP="00853F27">
      <w:pPr>
        <w:pStyle w:val="Body"/>
      </w:pPr>
      <w:r w:rsidRPr="00853F27">
        <w:t>The EDMS populates data on FRD 24 indicators through a combination of</w:t>
      </w:r>
      <w:r w:rsidR="001343BF">
        <w:t>:</w:t>
      </w:r>
    </w:p>
    <w:p w14:paraId="67F4FA62" w14:textId="11ADD075" w:rsidR="001343BF" w:rsidRDefault="00853F27" w:rsidP="001343BF">
      <w:pPr>
        <w:pStyle w:val="Bullet1"/>
      </w:pPr>
      <w:r w:rsidRPr="00853F27">
        <w:t xml:space="preserve">automatic </w:t>
      </w:r>
      <w:r w:rsidR="001343BF">
        <w:t>upload</w:t>
      </w:r>
    </w:p>
    <w:p w14:paraId="0BAA70EF" w14:textId="58035651" w:rsidR="001343BF" w:rsidRDefault="00853F27" w:rsidP="001343BF">
      <w:pPr>
        <w:pStyle w:val="Bullet1"/>
      </w:pPr>
      <w:r w:rsidRPr="00853F27">
        <w:t>manual upload</w:t>
      </w:r>
    </w:p>
    <w:p w14:paraId="3B336DEF" w14:textId="13134C0D" w:rsidR="001343BF" w:rsidRDefault="00853F27" w:rsidP="008037D1">
      <w:pPr>
        <w:pStyle w:val="Bullet1"/>
      </w:pPr>
      <w:r w:rsidRPr="00853F27">
        <w:t>system calculation</w:t>
      </w:r>
      <w:r w:rsidR="001343BF">
        <w:t xml:space="preserve"> or </w:t>
      </w:r>
      <w:r w:rsidRPr="00853F27">
        <w:t>generation.</w:t>
      </w:r>
    </w:p>
    <w:p w14:paraId="6FEBA8AE" w14:textId="4F117CE7" w:rsidR="00853F27" w:rsidRPr="00853F27" w:rsidRDefault="001343BF" w:rsidP="008037D1">
      <w:pPr>
        <w:pStyle w:val="Bodyafterbullets"/>
      </w:pPr>
      <w:r>
        <w:t>Some</w:t>
      </w:r>
      <w:r w:rsidR="00853F27" w:rsidRPr="00853F27">
        <w:t xml:space="preserve"> public hospitals </w:t>
      </w:r>
      <w:r w:rsidR="00853F27" w:rsidRPr="001343BF">
        <w:t>and</w:t>
      </w:r>
      <w:r w:rsidR="00853F27" w:rsidRPr="00853F27">
        <w:t xml:space="preserve"> health services use </w:t>
      </w:r>
      <w:proofErr w:type="spellStart"/>
      <w:r w:rsidR="00853F27" w:rsidRPr="00853F27">
        <w:t>statewide</w:t>
      </w:r>
      <w:proofErr w:type="spellEnd"/>
      <w:r w:rsidR="00853F27" w:rsidRPr="00853F27">
        <w:t xml:space="preserve"> </w:t>
      </w:r>
      <w:r>
        <w:t>HSV</w:t>
      </w:r>
      <w:r w:rsidR="00853F27" w:rsidRPr="00853F27">
        <w:t xml:space="preserve"> contracts or </w:t>
      </w:r>
      <w:r w:rsidRPr="00853F27">
        <w:t>state purchase contracts</w:t>
      </w:r>
      <w:r w:rsidR="00853F27" w:rsidRPr="00853F27">
        <w:t xml:space="preserve"> for electricity, gas and waste</w:t>
      </w:r>
      <w:r>
        <w:t>. In these cases,</w:t>
      </w:r>
      <w:r w:rsidR="00853F27" w:rsidRPr="00853F27">
        <w:t xml:space="preserve"> the department uploads this data centrally.</w:t>
      </w:r>
    </w:p>
    <w:p w14:paraId="3EB31053" w14:textId="41E415AD" w:rsidR="00853F27" w:rsidRPr="00853F27" w:rsidRDefault="001343BF" w:rsidP="007B4F70">
      <w:pPr>
        <w:pStyle w:val="Body"/>
      </w:pPr>
      <w:r>
        <w:t>You should</w:t>
      </w:r>
      <w:r w:rsidR="00853F27" w:rsidRPr="00853F27">
        <w:t xml:space="preserve"> note that the report </w:t>
      </w:r>
      <w:r>
        <w:t xml:space="preserve">the </w:t>
      </w:r>
      <w:r w:rsidR="00853F27" w:rsidRPr="00853F27">
        <w:t xml:space="preserve">EDMS generates is specifically configured for Tier 2 entities. Tier 3a and 4 </w:t>
      </w:r>
      <w:r w:rsidR="001D00C7">
        <w:t>entities</w:t>
      </w:r>
      <w:r w:rsidR="00853F27" w:rsidRPr="00853F27">
        <w:t xml:space="preserve"> can choose to report on the </w:t>
      </w:r>
      <w:r>
        <w:t>extra</w:t>
      </w:r>
      <w:r w:rsidRPr="00853F27">
        <w:t xml:space="preserve"> </w:t>
      </w:r>
      <w:r w:rsidR="00853F27" w:rsidRPr="00853F27">
        <w:t>Tier 2 indicators or exclude them in their annual report. Because the EDMS was designed for the highest tier health service (Tier 2), some entities may over report</w:t>
      </w:r>
      <w:r w:rsidR="009D040E">
        <w:t>.</w:t>
      </w:r>
    </w:p>
    <w:p w14:paraId="76861664" w14:textId="3EC83A4F" w:rsidR="00853F27" w:rsidRPr="00853F27" w:rsidRDefault="00853F27" w:rsidP="00853F27">
      <w:pPr>
        <w:pStyle w:val="Body"/>
      </w:pPr>
      <w:r w:rsidRPr="00853F27">
        <w:t>While the EDMS is a tool that supports health services with FRD 24 reporting, each entity is still responsible for understanding and meeting their FRD 24 reporting requirements</w:t>
      </w:r>
      <w:r w:rsidR="008C4411">
        <w:t>,</w:t>
      </w:r>
      <w:r w:rsidRPr="00853F27">
        <w:t xml:space="preserve"> independent of the system.</w:t>
      </w:r>
    </w:p>
    <w:p w14:paraId="1115FD28" w14:textId="5BE89CCA" w:rsidR="00853F27" w:rsidRPr="00853F27" w:rsidRDefault="001343BF" w:rsidP="00853F27">
      <w:pPr>
        <w:pStyle w:val="Body"/>
      </w:pPr>
      <w:r>
        <w:t>F</w:t>
      </w:r>
      <w:r w:rsidRPr="00853F27">
        <w:t xml:space="preserve">rom </w:t>
      </w:r>
      <w:r w:rsidR="00853F27" w:rsidRPr="00853F27">
        <w:t>1 July 2023 until 30 June 2028</w:t>
      </w:r>
      <w:r>
        <w:t>, the EDMS will be provided by Eden Suite</w:t>
      </w:r>
      <w:r w:rsidR="00853F27" w:rsidRPr="00853F27">
        <w:t xml:space="preserve">. Throughout this </w:t>
      </w:r>
      <w:r>
        <w:t>time</w:t>
      </w:r>
      <w:r w:rsidR="00853F27" w:rsidRPr="00853F27">
        <w:t xml:space="preserve">, the </w:t>
      </w:r>
      <w:r>
        <w:t>d</w:t>
      </w:r>
      <w:r w:rsidRPr="00853F27">
        <w:t>epartment</w:t>
      </w:r>
      <w:r w:rsidR="00853F27" w:rsidRPr="00853F27">
        <w:t xml:space="preserve"> will work with Eden Suite to continually improve the system, including identifying and implementing </w:t>
      </w:r>
      <w:r>
        <w:t>more</w:t>
      </w:r>
      <w:r w:rsidRPr="00853F27">
        <w:t xml:space="preserve"> </w:t>
      </w:r>
      <w:r w:rsidR="00853F27" w:rsidRPr="00853F27">
        <w:t>opportunities to centrally upload data.</w:t>
      </w:r>
    </w:p>
    <w:p w14:paraId="139DA0B4" w14:textId="318BB63B" w:rsidR="00853F27" w:rsidRPr="00853F27" w:rsidRDefault="00853F27" w:rsidP="00853F27">
      <w:pPr>
        <w:pStyle w:val="Body"/>
      </w:pPr>
      <w:r w:rsidRPr="00853F27">
        <w:t xml:space="preserve">The EDMS always uses the </w:t>
      </w:r>
      <w:r w:rsidR="000B732A">
        <w:t>most up</w:t>
      </w:r>
      <w:r w:rsidR="001343BF">
        <w:t>-</w:t>
      </w:r>
      <w:r w:rsidR="000B732A">
        <w:t>to</w:t>
      </w:r>
      <w:r w:rsidR="001343BF">
        <w:t>-</w:t>
      </w:r>
      <w:r w:rsidR="000B732A">
        <w:t>date</w:t>
      </w:r>
      <w:r w:rsidR="000B732A" w:rsidRPr="00853F27">
        <w:t xml:space="preserve"> </w:t>
      </w:r>
      <w:r w:rsidRPr="00853F27">
        <w:t xml:space="preserve">National Greenhouse Accounts </w:t>
      </w:r>
      <w:r w:rsidR="001356D2">
        <w:t xml:space="preserve">(NGA) </w:t>
      </w:r>
      <w:r w:rsidRPr="00853F27">
        <w:t>factors</w:t>
      </w:r>
      <w:r w:rsidR="001343BF">
        <w:t>.</w:t>
      </w:r>
      <w:r w:rsidR="006971C5">
        <w:t xml:space="preserve"> </w:t>
      </w:r>
      <w:r w:rsidR="001343BF">
        <w:t xml:space="preserve">These </w:t>
      </w:r>
      <w:r w:rsidR="006971C5">
        <w:t>are used to convert usage data (</w:t>
      </w:r>
      <w:r w:rsidR="002719A7">
        <w:t>for example kWh of electricity used)</w:t>
      </w:r>
      <w:r w:rsidR="003F14BD">
        <w:t xml:space="preserve"> to tonnes of carbon dioxide equivalent.</w:t>
      </w:r>
    </w:p>
    <w:p w14:paraId="212AE392" w14:textId="57DAC71B" w:rsidR="00853F27" w:rsidRPr="00853F27" w:rsidRDefault="00853F27" w:rsidP="008037D1">
      <w:pPr>
        <w:pStyle w:val="Heading2"/>
        <w:numPr>
          <w:ilvl w:val="1"/>
          <w:numId w:val="91"/>
        </w:numPr>
        <w:rPr>
          <w:rFonts w:eastAsia="Times"/>
        </w:rPr>
      </w:pPr>
      <w:bookmarkStart w:id="35" w:name="_Toc138239114"/>
      <w:r w:rsidRPr="00853F27">
        <w:rPr>
          <w:rFonts w:eastAsia="Times"/>
        </w:rPr>
        <w:t>Environmental indicators included in the EDMS</w:t>
      </w:r>
      <w:bookmarkEnd w:id="35"/>
    </w:p>
    <w:p w14:paraId="05692B23" w14:textId="3731A3E1" w:rsidR="00853F27" w:rsidRPr="00853F27" w:rsidRDefault="00853F27" w:rsidP="00264123">
      <w:pPr>
        <w:pStyle w:val="Heading3"/>
        <w:spacing w:before="0"/>
      </w:pPr>
      <w:r w:rsidRPr="00853F27">
        <w:t xml:space="preserve">Automatic </w:t>
      </w:r>
      <w:r w:rsidRPr="007B4F70">
        <w:t>upload</w:t>
      </w:r>
    </w:p>
    <w:p w14:paraId="2EA8A20D" w14:textId="50768F2C" w:rsidR="00853F27" w:rsidRPr="00853F27" w:rsidRDefault="00853F27">
      <w:pPr>
        <w:pStyle w:val="Body"/>
        <w:numPr>
          <w:ilvl w:val="0"/>
          <w:numId w:val="76"/>
        </w:numPr>
      </w:pPr>
      <w:r w:rsidRPr="00853F27">
        <w:t>Retail energy data where the supplier is known (including co</w:t>
      </w:r>
      <w:r w:rsidR="001343BF">
        <w:t>-</w:t>
      </w:r>
      <w:r w:rsidRPr="00853F27">
        <w:t>generation).</w:t>
      </w:r>
    </w:p>
    <w:p w14:paraId="165D9961" w14:textId="7B7977BB" w:rsidR="00853F27" w:rsidRPr="00853F27" w:rsidRDefault="00853F27">
      <w:pPr>
        <w:pStyle w:val="Body"/>
        <w:numPr>
          <w:ilvl w:val="0"/>
          <w:numId w:val="76"/>
        </w:numPr>
      </w:pPr>
      <w:r w:rsidRPr="00853F27">
        <w:t xml:space="preserve">Energy data from contracted utility suppliers under HSV contract (health services only) </w:t>
      </w:r>
      <w:r w:rsidR="001343BF">
        <w:t>or</w:t>
      </w:r>
      <w:r w:rsidR="001343BF" w:rsidRPr="00853F27">
        <w:t xml:space="preserve"> state purchasing contract</w:t>
      </w:r>
      <w:r w:rsidRPr="00853F27">
        <w:t>.</w:t>
      </w:r>
    </w:p>
    <w:p w14:paraId="1FD1CABF" w14:textId="58593170" w:rsidR="00853F27" w:rsidRPr="00853F27" w:rsidRDefault="00853F27">
      <w:pPr>
        <w:pStyle w:val="Body"/>
        <w:numPr>
          <w:ilvl w:val="0"/>
          <w:numId w:val="76"/>
        </w:numPr>
      </w:pPr>
      <w:r w:rsidRPr="00853F27">
        <w:t xml:space="preserve">Leading retailers where a letter of authority has been sent for the EDMS to request and load data (health services only). Check with your EDMS </w:t>
      </w:r>
      <w:r w:rsidR="00177D39">
        <w:t>tenancy</w:t>
      </w:r>
      <w:r w:rsidRPr="00853F27">
        <w:t xml:space="preserve"> to confirm you are receiving data.</w:t>
      </w:r>
    </w:p>
    <w:p w14:paraId="4E5BD72E" w14:textId="77777777" w:rsidR="00853F27" w:rsidRPr="00853F27" w:rsidRDefault="00853F27">
      <w:pPr>
        <w:pStyle w:val="Body"/>
        <w:numPr>
          <w:ilvl w:val="0"/>
          <w:numId w:val="76"/>
        </w:numPr>
      </w:pPr>
      <w:r w:rsidRPr="00853F27">
        <w:t xml:space="preserve">Liquified petroleum gas supplied by </w:t>
      </w:r>
      <w:proofErr w:type="spellStart"/>
      <w:r w:rsidRPr="00853F27">
        <w:t>Elgas</w:t>
      </w:r>
      <w:proofErr w:type="spellEnd"/>
      <w:r w:rsidRPr="00853F27">
        <w:t>.</w:t>
      </w:r>
    </w:p>
    <w:p w14:paraId="345AD8BA" w14:textId="77777777" w:rsidR="00853F27" w:rsidRPr="00853F27" w:rsidRDefault="00853F27">
      <w:pPr>
        <w:pStyle w:val="Body"/>
        <w:numPr>
          <w:ilvl w:val="0"/>
          <w:numId w:val="76"/>
        </w:numPr>
      </w:pPr>
      <w:r w:rsidRPr="00853F27">
        <w:t>Potable water.</w:t>
      </w:r>
    </w:p>
    <w:p w14:paraId="1C392952" w14:textId="77777777" w:rsidR="00853F27" w:rsidRPr="00853F27" w:rsidRDefault="00853F27">
      <w:pPr>
        <w:pStyle w:val="Body"/>
        <w:numPr>
          <w:ilvl w:val="0"/>
          <w:numId w:val="76"/>
        </w:numPr>
      </w:pPr>
      <w:r w:rsidRPr="00853F27">
        <w:t>Solar generation with an automatic feed.</w:t>
      </w:r>
    </w:p>
    <w:p w14:paraId="57F2E8C8" w14:textId="21C06E3D" w:rsidR="00853F27" w:rsidRPr="00282EDA" w:rsidRDefault="00854FCD">
      <w:pPr>
        <w:pStyle w:val="Body"/>
        <w:numPr>
          <w:ilvl w:val="0"/>
          <w:numId w:val="76"/>
        </w:numPr>
      </w:pPr>
      <w:r w:rsidRPr="00682205">
        <w:t>National Australian Built Environment Rating System</w:t>
      </w:r>
      <w:r w:rsidRPr="00282EDA">
        <w:t xml:space="preserve"> </w:t>
      </w:r>
      <w:r>
        <w:t>(</w:t>
      </w:r>
      <w:r w:rsidR="00853F27" w:rsidRPr="00282EDA">
        <w:t>NABERS</w:t>
      </w:r>
      <w:r>
        <w:t>)</w:t>
      </w:r>
      <w:r w:rsidR="00853F27" w:rsidRPr="00282EDA">
        <w:t xml:space="preserve"> rating</w:t>
      </w:r>
      <w:r w:rsidR="00282EDA" w:rsidRPr="00282EDA">
        <w:t xml:space="preserve"> (only for hospitals)</w:t>
      </w:r>
      <w:r>
        <w:t>.</w:t>
      </w:r>
    </w:p>
    <w:p w14:paraId="1CD93120" w14:textId="7DF32EDA" w:rsidR="00853F27" w:rsidRPr="00853F27" w:rsidRDefault="00853F27">
      <w:pPr>
        <w:pStyle w:val="Body"/>
        <w:numPr>
          <w:ilvl w:val="0"/>
          <w:numId w:val="76"/>
        </w:numPr>
      </w:pPr>
      <w:r w:rsidRPr="00853F27">
        <w:t>Health activity data</w:t>
      </w:r>
      <w:r w:rsidR="00854FCD">
        <w:t>:</w:t>
      </w:r>
      <w:r w:rsidRPr="00853F27">
        <w:t xml:space="preserve"> </w:t>
      </w:r>
      <w:r w:rsidR="00854FCD">
        <w:t>occupied bed days (</w:t>
      </w:r>
      <w:r w:rsidRPr="00853F27">
        <w:t>OBDs</w:t>
      </w:r>
      <w:r w:rsidR="00854FCD">
        <w:t>)</w:t>
      </w:r>
      <w:r w:rsidRPr="00853F27">
        <w:t>, separations and aged care bed days.</w:t>
      </w:r>
    </w:p>
    <w:p w14:paraId="533E64C0" w14:textId="2210B522" w:rsidR="00853F27" w:rsidRPr="00853F27" w:rsidRDefault="00853F27">
      <w:pPr>
        <w:pStyle w:val="Body"/>
        <w:numPr>
          <w:ilvl w:val="0"/>
          <w:numId w:val="76"/>
        </w:numPr>
      </w:pPr>
      <w:r w:rsidRPr="00853F27">
        <w:t xml:space="preserve">Staff (FTE) data as </w:t>
      </w:r>
      <w:r w:rsidR="00BE41CE">
        <w:t>of</w:t>
      </w:r>
      <w:r w:rsidRPr="00853F27">
        <w:t xml:space="preserve"> 30 June </w:t>
      </w:r>
      <w:r w:rsidR="00854FCD">
        <w:t xml:space="preserve">of </w:t>
      </w:r>
      <w:r w:rsidRPr="00853F27">
        <w:t>every reporting year.</w:t>
      </w:r>
    </w:p>
    <w:p w14:paraId="1BAC0892" w14:textId="7436B1A4" w:rsidR="00853F27" w:rsidRPr="00853F27" w:rsidRDefault="00853F27">
      <w:pPr>
        <w:pStyle w:val="Body"/>
        <w:numPr>
          <w:ilvl w:val="0"/>
          <w:numId w:val="76"/>
        </w:numPr>
      </w:pPr>
      <w:r w:rsidRPr="00853F27">
        <w:t>Fleet fuel usage (</w:t>
      </w:r>
      <w:r w:rsidR="00854FCD">
        <w:t xml:space="preserve">for </w:t>
      </w:r>
      <w:proofErr w:type="spellStart"/>
      <w:r w:rsidRPr="00853F27">
        <w:t>statewide</w:t>
      </w:r>
      <w:proofErr w:type="spellEnd"/>
      <w:r w:rsidRPr="00853F27">
        <w:t xml:space="preserve"> </w:t>
      </w:r>
      <w:proofErr w:type="spellStart"/>
      <w:r w:rsidRPr="00853F27">
        <w:t>VicFleet</w:t>
      </w:r>
      <w:proofErr w:type="spellEnd"/>
      <w:r w:rsidRPr="00853F27">
        <w:t xml:space="preserve"> contract)</w:t>
      </w:r>
      <w:r w:rsidR="00854FCD">
        <w:t>.</w:t>
      </w:r>
    </w:p>
    <w:p w14:paraId="31D19551" w14:textId="29C2843A" w:rsidR="00853F27" w:rsidRPr="00853F27" w:rsidRDefault="00853F27">
      <w:pPr>
        <w:pStyle w:val="Body"/>
        <w:numPr>
          <w:ilvl w:val="0"/>
          <w:numId w:val="76"/>
        </w:numPr>
      </w:pPr>
      <w:r w:rsidRPr="00853F27">
        <w:t>HSV waste contracts</w:t>
      </w:r>
      <w:r w:rsidR="00854FCD">
        <w:t>:</w:t>
      </w:r>
    </w:p>
    <w:p w14:paraId="59EA899A" w14:textId="622285D4" w:rsidR="00853F27" w:rsidRPr="00853F27" w:rsidRDefault="00853F27" w:rsidP="008037D1">
      <w:pPr>
        <w:pStyle w:val="Bullet2"/>
      </w:pPr>
      <w:r w:rsidRPr="00853F27">
        <w:t xml:space="preserve">Certain waste data </w:t>
      </w:r>
      <w:r w:rsidR="00854FCD">
        <w:t>usually</w:t>
      </w:r>
      <w:r w:rsidRPr="00853F27">
        <w:t xml:space="preserve"> appear</w:t>
      </w:r>
      <w:r w:rsidR="00854FCD">
        <w:t>s</w:t>
      </w:r>
      <w:r w:rsidRPr="00853F27">
        <w:t xml:space="preserve"> automatically in the EDMS due to bulk data upload from HSV. These include</w:t>
      </w:r>
      <w:r w:rsidR="007B4F70" w:rsidRPr="008037D1">
        <w:t xml:space="preserve"> </w:t>
      </w:r>
      <w:r w:rsidR="007B4F70" w:rsidRPr="008037D1">
        <w:rPr>
          <w:b/>
          <w:bCs/>
        </w:rPr>
        <w:t>l</w:t>
      </w:r>
      <w:r w:rsidRPr="008037D1">
        <w:rPr>
          <w:b/>
          <w:bCs/>
        </w:rPr>
        <w:t>andfill</w:t>
      </w:r>
      <w:r w:rsidRPr="00853F27">
        <w:t xml:space="preserve"> </w:t>
      </w:r>
      <w:r w:rsidR="007B4F70">
        <w:t>(</w:t>
      </w:r>
      <w:r w:rsidRPr="00853F27">
        <w:t>general waste</w:t>
      </w:r>
      <w:r w:rsidR="007B4F70" w:rsidRPr="008037D1">
        <w:t xml:space="preserve">), </w:t>
      </w:r>
      <w:r w:rsidR="007B4F70" w:rsidRPr="008037D1">
        <w:rPr>
          <w:b/>
          <w:bCs/>
        </w:rPr>
        <w:t xml:space="preserve">clinical </w:t>
      </w:r>
      <w:r w:rsidRPr="008037D1">
        <w:rPr>
          <w:b/>
          <w:bCs/>
        </w:rPr>
        <w:t>waste treated offsite</w:t>
      </w:r>
      <w:r w:rsidR="007B4F70">
        <w:t xml:space="preserve"> (</w:t>
      </w:r>
      <w:r w:rsidRPr="00853F27">
        <w:t>incinerated, treated and sharps</w:t>
      </w:r>
      <w:r w:rsidR="007B4F70">
        <w:t xml:space="preserve">) and </w:t>
      </w:r>
      <w:r w:rsidR="007B4F70" w:rsidRPr="008037D1">
        <w:rPr>
          <w:b/>
          <w:bCs/>
        </w:rPr>
        <w:t>r</w:t>
      </w:r>
      <w:r w:rsidRPr="008037D1">
        <w:rPr>
          <w:b/>
          <w:bCs/>
        </w:rPr>
        <w:t>ecycling</w:t>
      </w:r>
      <w:r w:rsidRPr="00853F27">
        <w:t xml:space="preserve"> </w:t>
      </w:r>
      <w:r w:rsidR="007B4F70">
        <w:t>(</w:t>
      </w:r>
      <w:r w:rsidRPr="00853F27">
        <w:t>cardboard and commingled recycling collections</w:t>
      </w:r>
      <w:r w:rsidR="007B4F70">
        <w:t>)</w:t>
      </w:r>
      <w:r w:rsidRPr="00853F27">
        <w:t>.</w:t>
      </w:r>
    </w:p>
    <w:p w14:paraId="15ADAD3E" w14:textId="369E0B2E" w:rsidR="00853F27" w:rsidRPr="00853F27" w:rsidRDefault="00853F27" w:rsidP="008037D1">
      <w:pPr>
        <w:pStyle w:val="Bullet2"/>
      </w:pPr>
      <w:r w:rsidRPr="00853F27">
        <w:t xml:space="preserve">HSV can only report on your behalf to the EDMS </w:t>
      </w:r>
      <w:r w:rsidR="00854FCD">
        <w:t>if</w:t>
      </w:r>
      <w:r w:rsidR="00854FCD" w:rsidRPr="00853F27">
        <w:t xml:space="preserve"> </w:t>
      </w:r>
      <w:r w:rsidRPr="00853F27">
        <w:t xml:space="preserve">waste contract holders report and provide data on their services to HSV. This reporting usually occurs four times yearly and one to two months after the end of </w:t>
      </w:r>
      <w:r w:rsidR="00854FCD">
        <w:t xml:space="preserve">the </w:t>
      </w:r>
      <w:r w:rsidRPr="00853F27">
        <w:t xml:space="preserve">quarter. Data that contractors do not report on or </w:t>
      </w:r>
      <w:r w:rsidR="00854FCD">
        <w:t>give</w:t>
      </w:r>
      <w:r w:rsidRPr="00853F27">
        <w:t xml:space="preserve"> to HSV cannot be automatically uploaded</w:t>
      </w:r>
      <w:r w:rsidR="00854FCD">
        <w:t>.</w:t>
      </w:r>
      <w:r w:rsidRPr="00853F27">
        <w:t xml:space="preserve"> </w:t>
      </w:r>
      <w:r w:rsidR="00854FCD">
        <w:t xml:space="preserve">Health services must </w:t>
      </w:r>
      <w:r w:rsidRPr="00853F27">
        <w:t xml:space="preserve">manually </w:t>
      </w:r>
      <w:r w:rsidR="00854FCD">
        <w:t xml:space="preserve">add this data </w:t>
      </w:r>
      <w:r w:rsidRPr="00853F27">
        <w:t>to the EDMS.</w:t>
      </w:r>
    </w:p>
    <w:p w14:paraId="08D0B5C9" w14:textId="24CD291F" w:rsidR="00853F27" w:rsidRPr="00853F27" w:rsidRDefault="00853F27" w:rsidP="008037D1">
      <w:pPr>
        <w:pStyle w:val="Bullet2"/>
      </w:pPr>
      <w:r w:rsidRPr="00853F27">
        <w:t xml:space="preserve">PVC data </w:t>
      </w:r>
      <w:r w:rsidR="00854FCD">
        <w:t xml:space="preserve">is </w:t>
      </w:r>
      <w:r w:rsidRPr="00853F27">
        <w:t>automatically uploaded in</w:t>
      </w:r>
      <w:r w:rsidR="00854FCD">
        <w:t>to</w:t>
      </w:r>
      <w:r w:rsidRPr="00853F27">
        <w:t xml:space="preserve"> the EDMS but is sourced separately by the department from the Vinyl Council.</w:t>
      </w:r>
    </w:p>
    <w:p w14:paraId="655B5845" w14:textId="77777777" w:rsidR="00854FCD" w:rsidRDefault="00854FCD" w:rsidP="00854FCD">
      <w:pPr>
        <w:pStyle w:val="Bodyafterbullets"/>
      </w:pPr>
      <w:r w:rsidRPr="008037D1">
        <w:rPr>
          <w:b/>
          <w:bCs/>
        </w:rPr>
        <w:t>Note</w:t>
      </w:r>
      <w:r>
        <w:t xml:space="preserve">: </w:t>
      </w:r>
      <w:r w:rsidRPr="00853F27">
        <w:t xml:space="preserve">If data from HSV waste contractors (services you have purchased) </w:t>
      </w:r>
      <w:r>
        <w:t>are</w:t>
      </w:r>
      <w:r w:rsidRPr="00853F27">
        <w:t xml:space="preserve"> not uploaded into the EDMS, you can lodge a ticket with </w:t>
      </w:r>
      <w:r>
        <w:t>HSV’s helpdesk:</w:t>
      </w:r>
    </w:p>
    <w:p w14:paraId="6A2D0E2D" w14:textId="091D72D8" w:rsidR="00854FCD" w:rsidRDefault="00854FCD" w:rsidP="00854FCD">
      <w:pPr>
        <w:pStyle w:val="Bullet1"/>
      </w:pPr>
      <w:r w:rsidRPr="008037D1">
        <w:rPr>
          <w:b/>
          <w:bCs/>
        </w:rPr>
        <w:t>Email</w:t>
      </w:r>
      <w:r>
        <w:t xml:space="preserve">: </w:t>
      </w:r>
      <w:r w:rsidRPr="008037D1">
        <w:t>helpdesk@healthsharevic.org.au</w:t>
      </w:r>
    </w:p>
    <w:p w14:paraId="6E7E4C81" w14:textId="756DAC48" w:rsidR="00854FCD" w:rsidRDefault="00854FCD" w:rsidP="00854FCD">
      <w:pPr>
        <w:pStyle w:val="Bullet1"/>
      </w:pPr>
      <w:r w:rsidRPr="008037D1">
        <w:rPr>
          <w:b/>
          <w:bCs/>
        </w:rPr>
        <w:t>CC</w:t>
      </w:r>
      <w:r>
        <w:t xml:space="preserve">: </w:t>
      </w:r>
      <w:r w:rsidRPr="008037D1">
        <w:t>edms@health.vic.gov.au</w:t>
      </w:r>
    </w:p>
    <w:p w14:paraId="358C10AE" w14:textId="63382BE8" w:rsidR="00854FCD" w:rsidRDefault="00854FCD" w:rsidP="00854FCD">
      <w:pPr>
        <w:pStyle w:val="Bullet1"/>
      </w:pPr>
      <w:r w:rsidRPr="008037D1">
        <w:rPr>
          <w:b/>
          <w:bCs/>
        </w:rPr>
        <w:t>Subject</w:t>
      </w:r>
      <w:r w:rsidRPr="00853F27">
        <w:t>: HPV Waste Contract – missing reporting in EDMS (</w:t>
      </w:r>
      <w:r>
        <w:t>&lt;</w:t>
      </w:r>
      <w:r w:rsidRPr="00853F27">
        <w:t xml:space="preserve">Business </w:t>
      </w:r>
      <w:r>
        <w:t>name</w:t>
      </w:r>
      <w:r w:rsidRPr="00853F27">
        <w:t xml:space="preserve"> of </w:t>
      </w:r>
      <w:r>
        <w:t>c</w:t>
      </w:r>
      <w:r w:rsidRPr="00853F27">
        <w:t>ontractor</w:t>
      </w:r>
      <w:r>
        <w:t>&gt;</w:t>
      </w:r>
      <w:r w:rsidRPr="00853F27">
        <w:t>)</w:t>
      </w:r>
    </w:p>
    <w:p w14:paraId="466C105A" w14:textId="76A06040" w:rsidR="00854FCD" w:rsidRPr="00853F27" w:rsidRDefault="00854FCD" w:rsidP="008037D1">
      <w:pPr>
        <w:pStyle w:val="Bullet1"/>
      </w:pPr>
      <w:r>
        <w:t xml:space="preserve">Include </w:t>
      </w:r>
      <w:r w:rsidRPr="00853F27">
        <w:t>details of the HSV waste contractor and service types</w:t>
      </w:r>
      <w:r>
        <w:t xml:space="preserve"> </w:t>
      </w:r>
      <w:r w:rsidRPr="00853F27">
        <w:t>you</w:t>
      </w:r>
      <w:r>
        <w:t xml:space="preserve"> use them for.</w:t>
      </w:r>
    </w:p>
    <w:p w14:paraId="49DA9285" w14:textId="3DEC966C" w:rsidR="00853F27" w:rsidRPr="00853F27" w:rsidRDefault="00853F27" w:rsidP="008037D1">
      <w:pPr>
        <w:pStyle w:val="Bodyafterbullets"/>
      </w:pPr>
      <w:r w:rsidRPr="00853F27">
        <w:t>For automatic</w:t>
      </w:r>
      <w:r w:rsidR="000E3B8E">
        <w:t xml:space="preserve">ally </w:t>
      </w:r>
      <w:r w:rsidRPr="00853F27">
        <w:t>generated</w:t>
      </w:r>
      <w:r w:rsidR="000E3B8E">
        <w:t xml:space="preserve"> data</w:t>
      </w:r>
      <w:r w:rsidRPr="00853F27">
        <w:t xml:space="preserve">, not </w:t>
      </w:r>
      <w:r w:rsidR="00F76F89" w:rsidRPr="00853F27">
        <w:t>all</w:t>
      </w:r>
      <w:r w:rsidRPr="00853F27">
        <w:t xml:space="preserve"> data will be in the EDMS by 30 June. It take</w:t>
      </w:r>
      <w:r w:rsidR="000E3B8E">
        <w:t>s</w:t>
      </w:r>
      <w:r w:rsidRPr="00853F27">
        <w:t xml:space="preserve"> time for retailers to </w:t>
      </w:r>
      <w:r w:rsidR="00F76F89">
        <w:t>provide data</w:t>
      </w:r>
      <w:r w:rsidRPr="00853F27">
        <w:t xml:space="preserve">. Estimates will be automatically generated by the EDMS based on usage from previous consumption data. Estimates will be </w:t>
      </w:r>
      <w:r w:rsidR="000E3B8E">
        <w:t xml:space="preserve">replaced </w:t>
      </w:r>
      <w:r w:rsidRPr="00853F27">
        <w:t xml:space="preserve">by </w:t>
      </w:r>
      <w:r w:rsidR="00F76F89">
        <w:t>actu</w:t>
      </w:r>
      <w:r w:rsidR="00F76F89" w:rsidRPr="00853F27">
        <w:t xml:space="preserve">al </w:t>
      </w:r>
      <w:r w:rsidRPr="00853F27">
        <w:t xml:space="preserve">consumption data </w:t>
      </w:r>
      <w:r w:rsidR="000E3B8E">
        <w:t xml:space="preserve">as it </w:t>
      </w:r>
      <w:r w:rsidRPr="00853F27">
        <w:t>is received from utility companies.</w:t>
      </w:r>
    </w:p>
    <w:p w14:paraId="6133E27D" w14:textId="75AB8A01" w:rsidR="00853F27" w:rsidRPr="00853F27" w:rsidRDefault="00853F27" w:rsidP="008037D1">
      <w:pPr>
        <w:pStyle w:val="Heading3"/>
      </w:pPr>
      <w:r w:rsidRPr="00853F27">
        <w:t xml:space="preserve">Manual upload (data </w:t>
      </w:r>
      <w:r w:rsidRPr="007B4F70">
        <w:t>that</w:t>
      </w:r>
      <w:r w:rsidRPr="00853F27">
        <w:t xml:space="preserve"> entities </w:t>
      </w:r>
      <w:r w:rsidR="000E3B8E">
        <w:t>must add themselves</w:t>
      </w:r>
      <w:r w:rsidRPr="00853F27">
        <w:t>)</w:t>
      </w:r>
    </w:p>
    <w:p w14:paraId="1E84BE03" w14:textId="60E53702" w:rsidR="00853F27" w:rsidRPr="00853F27" w:rsidRDefault="00853F27" w:rsidP="00853F27">
      <w:pPr>
        <w:pStyle w:val="Body"/>
      </w:pPr>
      <w:r w:rsidRPr="00853F27">
        <w:t xml:space="preserve">Some data will need to be entered manually into the EDMS </w:t>
      </w:r>
      <w:r w:rsidR="000E3B8E">
        <w:t>depending</w:t>
      </w:r>
      <w:r w:rsidR="000E3B8E" w:rsidRPr="00853F27">
        <w:t xml:space="preserve"> </w:t>
      </w:r>
      <w:r w:rsidRPr="00853F27">
        <w:t>on the source and supplier</w:t>
      </w:r>
      <w:r w:rsidR="000E3B8E">
        <w:t>. This may</w:t>
      </w:r>
      <w:r w:rsidR="009C1EF6">
        <w:t xml:space="preserve"> includ</w:t>
      </w:r>
      <w:r w:rsidR="000E3B8E">
        <w:t>e</w:t>
      </w:r>
      <w:r w:rsidR="009C1EF6">
        <w:t>:</w:t>
      </w:r>
    </w:p>
    <w:p w14:paraId="657A4271" w14:textId="12A89E78" w:rsidR="00853F27" w:rsidRPr="00853F27" w:rsidRDefault="00853F27" w:rsidP="008037D1">
      <w:pPr>
        <w:pStyle w:val="Bullet1"/>
      </w:pPr>
      <w:r w:rsidRPr="00853F27">
        <w:t xml:space="preserve">Energy data not on </w:t>
      </w:r>
      <w:proofErr w:type="spellStart"/>
      <w:r w:rsidRPr="00853F27">
        <w:t>statewide</w:t>
      </w:r>
      <w:proofErr w:type="spellEnd"/>
      <w:r w:rsidRPr="00853F27">
        <w:t xml:space="preserve"> contracts (</w:t>
      </w:r>
      <w:r w:rsidR="001356D2" w:rsidRPr="00853F27">
        <w:t xml:space="preserve">state purchase contracts </w:t>
      </w:r>
      <w:r w:rsidRPr="00853F27">
        <w:t xml:space="preserve">or </w:t>
      </w:r>
      <w:r w:rsidR="001356D2">
        <w:t>HSV</w:t>
      </w:r>
      <w:r w:rsidRPr="00853F27">
        <w:t xml:space="preserve"> supply agreements) </w:t>
      </w:r>
    </w:p>
    <w:p w14:paraId="1E53E296" w14:textId="3AF51445" w:rsidR="00853F27" w:rsidRPr="00853F27" w:rsidRDefault="00853F27" w:rsidP="008037D1">
      <w:pPr>
        <w:pStyle w:val="Bullet1"/>
      </w:pPr>
      <w:r w:rsidRPr="00853F27">
        <w:t xml:space="preserve">Liquified petroleum gas not </w:t>
      </w:r>
      <w:r w:rsidR="00F76F89">
        <w:t xml:space="preserve">supplied </w:t>
      </w:r>
      <w:r w:rsidRPr="00853F27">
        <w:t xml:space="preserve">by </w:t>
      </w:r>
      <w:proofErr w:type="spellStart"/>
      <w:r w:rsidRPr="00853F27">
        <w:t>Elgas</w:t>
      </w:r>
      <w:proofErr w:type="spellEnd"/>
      <w:r w:rsidR="000E3B8E">
        <w:t>.</w:t>
      </w:r>
    </w:p>
    <w:p w14:paraId="13285FCC" w14:textId="7AD5DA8B" w:rsidR="00853F27" w:rsidRPr="00853F27" w:rsidRDefault="00853F27" w:rsidP="008037D1">
      <w:pPr>
        <w:pStyle w:val="Bullet1"/>
      </w:pPr>
      <w:r w:rsidRPr="00853F27">
        <w:t>Stationary diesel used in backup generators</w:t>
      </w:r>
      <w:r w:rsidR="000E3B8E">
        <w:t>.</w:t>
      </w:r>
    </w:p>
    <w:p w14:paraId="0EEFDDA5" w14:textId="06ED3C7D" w:rsidR="00853F27" w:rsidRPr="00853F27" w:rsidRDefault="008725D6" w:rsidP="008037D1">
      <w:pPr>
        <w:pStyle w:val="Bullet1"/>
      </w:pPr>
      <w:proofErr w:type="spellStart"/>
      <w:r w:rsidRPr="00853F27">
        <w:t>Green</w:t>
      </w:r>
      <w:r>
        <w:t>P</w:t>
      </w:r>
      <w:r w:rsidRPr="00853F27">
        <w:t>ower</w:t>
      </w:r>
      <w:proofErr w:type="spellEnd"/>
      <w:r w:rsidRPr="00853F27">
        <w:t xml:space="preserve"> </w:t>
      </w:r>
      <w:r w:rsidR="00853F27" w:rsidRPr="00853F27">
        <w:t xml:space="preserve">not on </w:t>
      </w:r>
      <w:r w:rsidR="000E3B8E">
        <w:t xml:space="preserve">an </w:t>
      </w:r>
      <w:r w:rsidR="00853F27" w:rsidRPr="00853F27">
        <w:t>electricity bill</w:t>
      </w:r>
      <w:r w:rsidR="000E3B8E">
        <w:t>.</w:t>
      </w:r>
    </w:p>
    <w:p w14:paraId="2316AFD3" w14:textId="5A17A057" w:rsidR="00853F27" w:rsidRPr="00853F27" w:rsidRDefault="00853F27" w:rsidP="008037D1">
      <w:pPr>
        <w:pStyle w:val="Bullet1"/>
      </w:pPr>
      <w:r w:rsidRPr="00853F27">
        <w:t>Solar generation with no automatic feed</w:t>
      </w:r>
      <w:r w:rsidR="000E3B8E">
        <w:t>.</w:t>
      </w:r>
    </w:p>
    <w:p w14:paraId="386403ED" w14:textId="0968B686" w:rsidR="00853F27" w:rsidRPr="00853F27" w:rsidRDefault="00853F27" w:rsidP="008037D1">
      <w:pPr>
        <w:pStyle w:val="Bullet1"/>
      </w:pPr>
      <w:r w:rsidRPr="00853F27">
        <w:t>Large</w:t>
      </w:r>
      <w:r w:rsidR="008725D6">
        <w:t>-scale</w:t>
      </w:r>
      <w:r w:rsidRPr="00853F27">
        <w:t xml:space="preserve"> </w:t>
      </w:r>
      <w:r w:rsidR="000E3B8E" w:rsidRPr="00853F27">
        <w:t>generation certificates</w:t>
      </w:r>
      <w:r w:rsidR="008725D6">
        <w:t xml:space="preserve"> (LGCs)</w:t>
      </w:r>
      <w:r w:rsidR="000E3B8E" w:rsidRPr="00853F27">
        <w:t xml:space="preserve"> </w:t>
      </w:r>
      <w:r w:rsidRPr="00853F27">
        <w:t>(</w:t>
      </w:r>
      <w:r w:rsidR="00F76F89" w:rsidRPr="00853F27">
        <w:t>retire</w:t>
      </w:r>
      <w:r w:rsidR="00F76F89">
        <w:t>d</w:t>
      </w:r>
      <w:r w:rsidR="00F76F89" w:rsidRPr="00853F27">
        <w:t xml:space="preserve"> </w:t>
      </w:r>
      <w:r w:rsidRPr="00853F27">
        <w:t>or sold)</w:t>
      </w:r>
      <w:r w:rsidR="000E3B8E">
        <w:t>.</w:t>
      </w:r>
    </w:p>
    <w:p w14:paraId="6FF75F81" w14:textId="56362E39" w:rsidR="00853F27" w:rsidRPr="00853F27" w:rsidRDefault="00853F27" w:rsidP="008037D1">
      <w:pPr>
        <w:pStyle w:val="Bullet1"/>
      </w:pPr>
      <w:r w:rsidRPr="00853F27">
        <w:t>Other energy (</w:t>
      </w:r>
      <w:r w:rsidR="000E3B8E">
        <w:t>such as</w:t>
      </w:r>
      <w:r w:rsidRPr="00853F27">
        <w:t xml:space="preserve"> biomass)</w:t>
      </w:r>
      <w:r w:rsidR="000E3B8E">
        <w:t>.</w:t>
      </w:r>
    </w:p>
    <w:p w14:paraId="0017D1DA" w14:textId="77981DFD" w:rsidR="00853F27" w:rsidRPr="00853F27" w:rsidRDefault="00853F27" w:rsidP="008037D1">
      <w:pPr>
        <w:pStyle w:val="Bullet1"/>
      </w:pPr>
      <w:r w:rsidRPr="00853F27">
        <w:t xml:space="preserve">Recycled </w:t>
      </w:r>
      <w:r w:rsidR="000E3B8E">
        <w:t>or</w:t>
      </w:r>
      <w:r w:rsidR="000E3B8E" w:rsidRPr="00853F27">
        <w:t xml:space="preserve"> </w:t>
      </w:r>
      <w:r w:rsidRPr="00853F27">
        <w:t>Class A water</w:t>
      </w:r>
      <w:r w:rsidR="000E3B8E">
        <w:t>.</w:t>
      </w:r>
    </w:p>
    <w:p w14:paraId="2CDA4095" w14:textId="565DF1BA" w:rsidR="00853F27" w:rsidRPr="00853F27" w:rsidRDefault="0054503F" w:rsidP="008037D1">
      <w:pPr>
        <w:pStyle w:val="Bullet1"/>
      </w:pPr>
      <w:r>
        <w:t>Road and a</w:t>
      </w:r>
      <w:r w:rsidR="00853F27" w:rsidRPr="00853F27">
        <w:t xml:space="preserve">ir ambulance fuel use, </w:t>
      </w:r>
      <w:r w:rsidR="000E3B8E">
        <w:t>aviation gasoline (</w:t>
      </w:r>
      <w:r w:rsidR="00853F27" w:rsidRPr="00853F27">
        <w:t>avgas</w:t>
      </w:r>
      <w:r w:rsidR="000E3B8E">
        <w:t>)</w:t>
      </w:r>
      <w:r w:rsidR="00853F27" w:rsidRPr="00853F27">
        <w:t xml:space="preserve"> and aviation turbine fuel</w:t>
      </w:r>
      <w:r w:rsidR="00760913">
        <w:t xml:space="preserve"> (ATF)</w:t>
      </w:r>
      <w:r>
        <w:t xml:space="preserve"> </w:t>
      </w:r>
      <w:r w:rsidRPr="00853F27">
        <w:t>(Ambulance Victory only)</w:t>
      </w:r>
      <w:r w:rsidR="00853F27" w:rsidRPr="00853F27">
        <w:t>.</w:t>
      </w:r>
    </w:p>
    <w:p w14:paraId="4BEC6A4C" w14:textId="21C37896" w:rsidR="00853F27" w:rsidRPr="00853F27" w:rsidRDefault="00853F27" w:rsidP="008037D1">
      <w:pPr>
        <w:pStyle w:val="Bullet1"/>
      </w:pPr>
      <w:r w:rsidRPr="00853F27">
        <w:t>Electricity used to charge electric vehicles</w:t>
      </w:r>
      <w:r w:rsidR="000E3B8E">
        <w:t>.</w:t>
      </w:r>
    </w:p>
    <w:p w14:paraId="2B05B617" w14:textId="486CA15A" w:rsidR="000E3B8E" w:rsidRPr="00853F27" w:rsidRDefault="00853F27" w:rsidP="008037D1">
      <w:pPr>
        <w:pStyle w:val="Bullet1"/>
      </w:pPr>
      <w:r w:rsidRPr="00853F27">
        <w:t>Commercial air travel</w:t>
      </w:r>
      <w:r w:rsidR="007B4F70">
        <w:t xml:space="preserve"> (c</w:t>
      </w:r>
      <w:r w:rsidRPr="00853F27">
        <w:t>heck the guidance for indicator T4</w:t>
      </w:r>
      <w:r w:rsidR="000E3B8E">
        <w:t xml:space="preserve"> under </w:t>
      </w:r>
      <w:r w:rsidR="000E3B8E" w:rsidRPr="008037D1">
        <w:rPr>
          <w:b/>
          <w:bCs/>
          <w:u w:val="single"/>
        </w:rPr>
        <w:fldChar w:fldCharType="begin"/>
      </w:r>
      <w:r w:rsidR="000E3B8E" w:rsidRPr="008037D1">
        <w:rPr>
          <w:b/>
          <w:bCs/>
          <w:u w:val="single"/>
        </w:rPr>
        <w:instrText xml:space="preserve"> REF _Ref137646335 \h  \* MERGEFORMAT </w:instrText>
      </w:r>
      <w:r w:rsidR="000E3B8E" w:rsidRPr="008037D1">
        <w:rPr>
          <w:b/>
          <w:bCs/>
          <w:u w:val="single"/>
        </w:rPr>
      </w:r>
      <w:r w:rsidR="000E3B8E" w:rsidRPr="008037D1">
        <w:rPr>
          <w:b/>
          <w:bCs/>
          <w:u w:val="single"/>
        </w:rPr>
        <w:fldChar w:fldCharType="separate"/>
      </w:r>
      <w:r w:rsidR="00C52465" w:rsidRPr="008037D1">
        <w:rPr>
          <w:b/>
          <w:bCs/>
          <w:u w:val="single"/>
        </w:rPr>
        <w:t>Transportation</w:t>
      </w:r>
      <w:r w:rsidR="000E3B8E" w:rsidRPr="008037D1">
        <w:rPr>
          <w:b/>
          <w:bCs/>
          <w:u w:val="single"/>
        </w:rPr>
        <w:fldChar w:fldCharType="end"/>
      </w:r>
      <w:r w:rsidR="007B4F70">
        <w:t>)</w:t>
      </w:r>
    </w:p>
    <w:p w14:paraId="0F910F9D" w14:textId="0DA928E8" w:rsidR="00853F27" w:rsidRPr="00853F27" w:rsidRDefault="00853F27" w:rsidP="008037D1">
      <w:pPr>
        <w:pStyle w:val="Bullet1"/>
      </w:pPr>
      <w:r w:rsidRPr="00853F27">
        <w:t xml:space="preserve">Medical and </w:t>
      </w:r>
      <w:r w:rsidRPr="007B4F70">
        <w:t>refrigeration</w:t>
      </w:r>
      <w:r w:rsidRPr="00853F27">
        <w:t xml:space="preserve"> gases (</w:t>
      </w:r>
      <w:r w:rsidR="000E3B8E">
        <w:t xml:space="preserve">see </w:t>
      </w:r>
      <w:r w:rsidR="000E3B8E" w:rsidRPr="008037D1">
        <w:rPr>
          <w:b/>
          <w:bCs/>
          <w:u w:val="single"/>
        </w:rPr>
        <w:fldChar w:fldCharType="begin"/>
      </w:r>
      <w:r w:rsidR="000E3B8E" w:rsidRPr="008037D1">
        <w:rPr>
          <w:b/>
          <w:bCs/>
          <w:u w:val="single"/>
        </w:rPr>
        <w:instrText xml:space="preserve"> REF _Ref137646378 \h  \* MERGEFORMAT </w:instrText>
      </w:r>
      <w:r w:rsidR="000E3B8E" w:rsidRPr="008037D1">
        <w:rPr>
          <w:b/>
          <w:bCs/>
          <w:u w:val="single"/>
        </w:rPr>
      </w:r>
      <w:r w:rsidR="000E3B8E" w:rsidRPr="008037D1">
        <w:rPr>
          <w:b/>
          <w:bCs/>
          <w:u w:val="single"/>
        </w:rPr>
        <w:fldChar w:fldCharType="separate"/>
      </w:r>
      <w:r w:rsidR="00C52465" w:rsidRPr="008037D1">
        <w:rPr>
          <w:b/>
          <w:bCs/>
          <w:u w:val="single"/>
        </w:rPr>
        <w:t>Appendix E: Medical gases and refrigerants</w:t>
      </w:r>
      <w:r w:rsidR="000E3B8E" w:rsidRPr="008037D1">
        <w:rPr>
          <w:b/>
          <w:bCs/>
          <w:u w:val="single"/>
        </w:rPr>
        <w:fldChar w:fldCharType="end"/>
      </w:r>
      <w:r w:rsidRPr="00853F27">
        <w:t>). Two project</w:t>
      </w:r>
      <w:r w:rsidR="0083198D">
        <w:t>s</w:t>
      </w:r>
      <w:r w:rsidRPr="00853F27">
        <w:t xml:space="preserve"> are currently underway with HSV support to: </w:t>
      </w:r>
    </w:p>
    <w:p w14:paraId="4B10A9FD" w14:textId="3E6C3DB4" w:rsidR="00853F27" w:rsidRPr="00853F27" w:rsidRDefault="00853F27" w:rsidP="008037D1">
      <w:pPr>
        <w:pStyle w:val="Bullet2"/>
      </w:pPr>
      <w:r w:rsidRPr="00853F27">
        <w:t xml:space="preserve">validate if accurate data on nitrous oxide quantities can be </w:t>
      </w:r>
      <w:r w:rsidRPr="007B4F70">
        <w:t>obtained</w:t>
      </w:r>
      <w:r w:rsidRPr="00853F27">
        <w:t xml:space="preserve"> from supplier reporting, and uploaded in bulk into </w:t>
      </w:r>
      <w:r w:rsidR="00547970">
        <w:t>EDMS</w:t>
      </w:r>
    </w:p>
    <w:p w14:paraId="59563257" w14:textId="1B442C77" w:rsidR="00853F27" w:rsidRPr="00853F27" w:rsidRDefault="000E3B8E" w:rsidP="008037D1">
      <w:pPr>
        <w:pStyle w:val="Bullet2"/>
      </w:pPr>
      <w:r>
        <w:t>get</w:t>
      </w:r>
      <w:r w:rsidRPr="00853F27">
        <w:t xml:space="preserve"> </w:t>
      </w:r>
      <w:r>
        <w:t xml:space="preserve">and upload into EDMS </w:t>
      </w:r>
      <w:r w:rsidR="00853F27" w:rsidRPr="00853F27">
        <w:t xml:space="preserve">bulk data from </w:t>
      </w:r>
      <w:r w:rsidRPr="00853F27">
        <w:t xml:space="preserve">pharmacy management systems </w:t>
      </w:r>
      <w:r w:rsidR="00853F27" w:rsidRPr="00853F27">
        <w:t>about desflurane, isoflurane and sevoflurane purchases.</w:t>
      </w:r>
    </w:p>
    <w:p w14:paraId="5AD60EDE" w14:textId="294431EA" w:rsidR="00853F27" w:rsidRPr="00853F27" w:rsidRDefault="00853F27" w:rsidP="008037D1">
      <w:pPr>
        <w:pStyle w:val="Bullet1"/>
      </w:pPr>
      <w:r w:rsidRPr="00853F27">
        <w:t xml:space="preserve">Fleet fuel usage (if not </w:t>
      </w:r>
      <w:r w:rsidR="000E3B8E">
        <w:t xml:space="preserve">using </w:t>
      </w:r>
      <w:r w:rsidRPr="00853F27">
        <w:t xml:space="preserve">the </w:t>
      </w:r>
      <w:proofErr w:type="spellStart"/>
      <w:r w:rsidRPr="00853F27">
        <w:t>statewide</w:t>
      </w:r>
      <w:proofErr w:type="spellEnd"/>
      <w:r w:rsidRPr="00853F27">
        <w:t xml:space="preserve"> </w:t>
      </w:r>
      <w:proofErr w:type="spellStart"/>
      <w:r w:rsidRPr="00853F27">
        <w:t>VicFleet</w:t>
      </w:r>
      <w:proofErr w:type="spellEnd"/>
      <w:r w:rsidRPr="00853F27">
        <w:t xml:space="preserve"> contract or </w:t>
      </w:r>
      <w:r w:rsidR="000E3B8E">
        <w:t xml:space="preserve">if buying </w:t>
      </w:r>
      <w:r w:rsidRPr="00853F27">
        <w:t xml:space="preserve">vehicles outside of </w:t>
      </w:r>
      <w:proofErr w:type="spellStart"/>
      <w:r w:rsidRPr="00853F27">
        <w:t>VicFleet</w:t>
      </w:r>
      <w:proofErr w:type="spellEnd"/>
      <w:r w:rsidRPr="00853F27">
        <w:t>)</w:t>
      </w:r>
      <w:r w:rsidR="000E3B8E">
        <w:t>.</w:t>
      </w:r>
    </w:p>
    <w:p w14:paraId="6C978EFF" w14:textId="6AE57E60" w:rsidR="00CF5BDB" w:rsidRPr="00853F27" w:rsidRDefault="00853F27" w:rsidP="008037D1">
      <w:pPr>
        <w:pStyle w:val="Bullet1"/>
      </w:pPr>
      <w:r w:rsidRPr="00853F27">
        <w:t xml:space="preserve">Waste data not on the HSV contract or </w:t>
      </w:r>
      <w:r w:rsidRPr="007B4F70">
        <w:t>services</w:t>
      </w:r>
      <w:r w:rsidRPr="00853F27">
        <w:t xml:space="preserve"> not managed through a</w:t>
      </w:r>
      <w:r w:rsidR="000E3B8E">
        <w:t>n</w:t>
      </w:r>
      <w:r w:rsidRPr="00853F27">
        <w:t xml:space="preserve"> HSV contract holder</w:t>
      </w:r>
      <w:r w:rsidR="00A34B95">
        <w:t>.</w:t>
      </w:r>
      <w:r w:rsidR="007B4F70">
        <w:t xml:space="preserve"> </w:t>
      </w:r>
    </w:p>
    <w:p w14:paraId="211A214E" w14:textId="72EF50D9" w:rsidR="00853F27" w:rsidRPr="00853F27" w:rsidRDefault="00CF5BDB" w:rsidP="008037D1">
      <w:pPr>
        <w:pStyle w:val="Bodyafterbullets"/>
      </w:pPr>
      <w:r w:rsidRPr="008037D1">
        <w:rPr>
          <w:b/>
          <w:bCs/>
        </w:rPr>
        <w:t>Note</w:t>
      </w:r>
      <w:r>
        <w:t xml:space="preserve">: </w:t>
      </w:r>
      <w:r w:rsidRPr="00853F27">
        <w:t xml:space="preserve">hospitals and health services </w:t>
      </w:r>
      <w:r>
        <w:t xml:space="preserve">need to manually enter some </w:t>
      </w:r>
      <w:r w:rsidR="00853F27" w:rsidRPr="00853F27">
        <w:t>waste data into the EDMS</w:t>
      </w:r>
      <w:r w:rsidR="00131B72">
        <w:t>,</w:t>
      </w:r>
      <w:r w:rsidR="00131B72" w:rsidRPr="00131B72">
        <w:t xml:space="preserve"> </w:t>
      </w:r>
      <w:r w:rsidR="00131B72">
        <w:t xml:space="preserve">whether they have </w:t>
      </w:r>
      <w:r w:rsidR="00131B72" w:rsidRPr="00853F27">
        <w:t>a HSV waste contract</w:t>
      </w:r>
      <w:r w:rsidR="00131B72">
        <w:t xml:space="preserve"> or not</w:t>
      </w:r>
      <w:r w:rsidR="00853F27" w:rsidRPr="00853F27">
        <w:t xml:space="preserve">. </w:t>
      </w:r>
      <w:r>
        <w:t>T</w:t>
      </w:r>
      <w:r w:rsidR="00403F69">
        <w:t xml:space="preserve">his </w:t>
      </w:r>
      <w:r w:rsidR="00131B72">
        <w:t xml:space="preserve">data </w:t>
      </w:r>
      <w:r w:rsidR="00403F69">
        <w:t>includes:</w:t>
      </w:r>
    </w:p>
    <w:p w14:paraId="7FA71AE9" w14:textId="19F1F62D" w:rsidR="00CF5BDB" w:rsidRPr="00853F27" w:rsidRDefault="00CF5BDB" w:rsidP="00CF5BDB">
      <w:pPr>
        <w:pStyle w:val="Bullet1"/>
      </w:pPr>
      <w:r w:rsidRPr="00715B6D">
        <w:rPr>
          <w:b/>
          <w:bCs/>
        </w:rPr>
        <w:t>Specialist recycling streams</w:t>
      </w:r>
      <w:r w:rsidRPr="00853F27">
        <w:t xml:space="preserve"> (since these a</w:t>
      </w:r>
      <w:r w:rsidR="008037D1">
        <w:t>re</w:t>
      </w:r>
      <w:r w:rsidRPr="00853F27">
        <w:t xml:space="preserve"> </w:t>
      </w:r>
      <w:r w:rsidRPr="00CF5BDB">
        <w:t>managed</w:t>
      </w:r>
      <w:r w:rsidRPr="00853F27">
        <w:t xml:space="preserve"> locally)</w:t>
      </w:r>
    </w:p>
    <w:p w14:paraId="4A6ED430" w14:textId="77777777" w:rsidR="00CF5BDB" w:rsidRDefault="00853F27" w:rsidP="00CF5BDB">
      <w:pPr>
        <w:pStyle w:val="Bullet1"/>
      </w:pPr>
      <w:r w:rsidRPr="008037D1">
        <w:rPr>
          <w:b/>
          <w:bCs/>
        </w:rPr>
        <w:t>Recycling</w:t>
      </w:r>
      <w:r w:rsidRPr="00853F27">
        <w:t>:</w:t>
      </w:r>
    </w:p>
    <w:p w14:paraId="7EF488C1" w14:textId="364D3863" w:rsidR="00CF5BDB" w:rsidRDefault="00853F27" w:rsidP="00CF5BDB">
      <w:pPr>
        <w:pStyle w:val="Bullet2"/>
      </w:pPr>
      <w:r w:rsidRPr="007B4F70">
        <w:t>paper</w:t>
      </w:r>
      <w:r w:rsidRPr="00853F27">
        <w:t xml:space="preserve"> (including confidential</w:t>
      </w:r>
      <w:r w:rsidR="00CF5BDB" w:rsidRPr="00853F27">
        <w:t>)</w:t>
      </w:r>
    </w:p>
    <w:p w14:paraId="7CA37CD4" w14:textId="4B78F84B" w:rsidR="00CF5BDB" w:rsidRDefault="00853F27" w:rsidP="00CF5BDB">
      <w:pPr>
        <w:pStyle w:val="Bullet2"/>
      </w:pPr>
      <w:r w:rsidRPr="00853F27">
        <w:t>batteries</w:t>
      </w:r>
    </w:p>
    <w:p w14:paraId="62932DDF" w14:textId="7ADA3646" w:rsidR="00CF5BDB" w:rsidRDefault="00853F27" w:rsidP="00CF5BDB">
      <w:pPr>
        <w:pStyle w:val="Bullet2"/>
      </w:pPr>
      <w:r w:rsidRPr="00853F27">
        <w:t>e-waste</w:t>
      </w:r>
    </w:p>
    <w:p w14:paraId="00467F3F" w14:textId="20612440" w:rsidR="00CF5BDB" w:rsidRDefault="00853F27" w:rsidP="00CF5BDB">
      <w:pPr>
        <w:pStyle w:val="Bullet2"/>
      </w:pPr>
      <w:r w:rsidRPr="00853F27">
        <w:t>mobile phones</w:t>
      </w:r>
    </w:p>
    <w:p w14:paraId="2C82B48E" w14:textId="49B878CD" w:rsidR="00CF5BDB" w:rsidRDefault="00853F27" w:rsidP="00CF5BDB">
      <w:pPr>
        <w:pStyle w:val="Bullet2"/>
      </w:pPr>
      <w:r w:rsidRPr="00853F27">
        <w:t>toner and print cartridges</w:t>
      </w:r>
    </w:p>
    <w:p w14:paraId="0952472E" w14:textId="44FF2A3D" w:rsidR="00CF5BDB" w:rsidRDefault="00853F27" w:rsidP="00CF5BDB">
      <w:pPr>
        <w:pStyle w:val="Bullet2"/>
      </w:pPr>
      <w:r w:rsidRPr="00853F27">
        <w:t>mattresses</w:t>
      </w:r>
    </w:p>
    <w:p w14:paraId="27635FA0" w14:textId="0C0430DE" w:rsidR="00CF5BDB" w:rsidRDefault="00853F27" w:rsidP="00CF5BDB">
      <w:pPr>
        <w:pStyle w:val="Bullet2"/>
      </w:pPr>
      <w:r w:rsidRPr="00853F27">
        <w:t>metals</w:t>
      </w:r>
    </w:p>
    <w:p w14:paraId="574F6A63" w14:textId="24DB3EF6" w:rsidR="00CF5BDB" w:rsidRDefault="00853F27" w:rsidP="00CF5BDB">
      <w:pPr>
        <w:pStyle w:val="Bullet2"/>
      </w:pPr>
      <w:r w:rsidRPr="00853F27">
        <w:t>organics (food</w:t>
      </w:r>
      <w:r w:rsidR="00CF5BDB">
        <w:t xml:space="preserve"> or </w:t>
      </w:r>
      <w:r w:rsidRPr="00853F27">
        <w:t>garden</w:t>
      </w:r>
      <w:r w:rsidR="00CF5BDB" w:rsidRPr="00853F27">
        <w:t>)</w:t>
      </w:r>
    </w:p>
    <w:p w14:paraId="161BD7E6" w14:textId="6AA29E29" w:rsidR="00CF5BDB" w:rsidRDefault="00853F27" w:rsidP="00CF5BDB">
      <w:pPr>
        <w:pStyle w:val="Bullet2"/>
      </w:pPr>
      <w:r w:rsidRPr="00853F27">
        <w:t>packaging plastic</w:t>
      </w:r>
      <w:r w:rsidR="00CF5BDB">
        <w:t xml:space="preserve"> or </w:t>
      </w:r>
      <w:r w:rsidRPr="00853F27">
        <w:t>films</w:t>
      </w:r>
    </w:p>
    <w:p w14:paraId="4C459F12" w14:textId="7B9A69E6" w:rsidR="00CF5BDB" w:rsidRDefault="00853F27" w:rsidP="00CF5BDB">
      <w:pPr>
        <w:pStyle w:val="Bullet2"/>
      </w:pPr>
      <w:r w:rsidRPr="00853F27">
        <w:t>polystyrene foam</w:t>
      </w:r>
    </w:p>
    <w:p w14:paraId="04076299" w14:textId="6BAAFB03" w:rsidR="00CF5BDB" w:rsidRDefault="00853F27" w:rsidP="00CF5BDB">
      <w:pPr>
        <w:pStyle w:val="Bullet2"/>
      </w:pPr>
      <w:r w:rsidRPr="00853F27">
        <w:t>sterili</w:t>
      </w:r>
      <w:r w:rsidR="001356D2">
        <w:t>s</w:t>
      </w:r>
      <w:r w:rsidRPr="00853F27">
        <w:t>ation wraps</w:t>
      </w:r>
    </w:p>
    <w:p w14:paraId="7CC3FE01" w14:textId="196C9136" w:rsidR="00CF5BDB" w:rsidRDefault="00853F27" w:rsidP="00CF5BDB">
      <w:pPr>
        <w:pStyle w:val="Bullet2"/>
      </w:pPr>
      <w:r w:rsidRPr="00853F27">
        <w:t>wood</w:t>
      </w:r>
    </w:p>
    <w:p w14:paraId="4937D4C8" w14:textId="750B867A" w:rsidR="00CF5BDB" w:rsidRDefault="00853F27" w:rsidP="00CF5BDB">
      <w:pPr>
        <w:pStyle w:val="Bullet2"/>
      </w:pPr>
      <w:r w:rsidRPr="00853F27">
        <w:t>grease traps</w:t>
      </w:r>
    </w:p>
    <w:p w14:paraId="027C82AF" w14:textId="355033F0" w:rsidR="00853F27" w:rsidRPr="00853F27" w:rsidRDefault="00853F27" w:rsidP="008037D1">
      <w:pPr>
        <w:pStyle w:val="Bullet2"/>
      </w:pPr>
      <w:r w:rsidRPr="00853F27">
        <w:t>‘other’</w:t>
      </w:r>
      <w:r w:rsidR="00CF5BDB">
        <w:t xml:space="preserve"> material</w:t>
      </w:r>
      <w:r w:rsidRPr="00853F27">
        <w:t>.</w:t>
      </w:r>
    </w:p>
    <w:p w14:paraId="07FF6599" w14:textId="3B4B7BCC" w:rsidR="001356D2" w:rsidRDefault="001356D2" w:rsidP="008037D1">
      <w:pPr>
        <w:pStyle w:val="Heading4"/>
      </w:pPr>
      <w:r>
        <w:t>Bulk uploads to EDMS</w:t>
      </w:r>
    </w:p>
    <w:p w14:paraId="4A45A598" w14:textId="70315D11" w:rsidR="00CF5BDB" w:rsidRDefault="00853F27">
      <w:pPr>
        <w:pStyle w:val="Bodyafterbullets"/>
      </w:pPr>
      <w:r w:rsidRPr="008037D1">
        <w:t xml:space="preserve">To </w:t>
      </w:r>
      <w:r w:rsidR="00CF5BDB">
        <w:t xml:space="preserve">make </w:t>
      </w:r>
      <w:r w:rsidRPr="008037D1">
        <w:t>the manual data upload process</w:t>
      </w:r>
      <w:r w:rsidR="00CF5BDB">
        <w:t xml:space="preserve"> easier</w:t>
      </w:r>
      <w:r w:rsidRPr="008037D1">
        <w:t xml:space="preserve">, you </w:t>
      </w:r>
      <w:r w:rsidR="00827165" w:rsidRPr="008037D1">
        <w:t>can</w:t>
      </w:r>
      <w:r w:rsidRPr="008037D1">
        <w:t xml:space="preserve"> email </w:t>
      </w:r>
      <w:r w:rsidR="00CF5BDB" w:rsidRPr="00DD1493">
        <w:t>your ‘direct</w:t>
      </w:r>
      <w:r w:rsidR="000C2A8D">
        <w:t xml:space="preserve"> </w:t>
      </w:r>
      <w:r w:rsidR="00CF5BDB" w:rsidRPr="00DD1493">
        <w:t xml:space="preserve">data’ </w:t>
      </w:r>
      <w:r w:rsidR="00CF5BDB">
        <w:t xml:space="preserve">to </w:t>
      </w:r>
      <w:r w:rsidRPr="008037D1">
        <w:t>Eden Suite</w:t>
      </w:r>
      <w:r w:rsidR="00CF5BDB">
        <w:t>.</w:t>
      </w:r>
      <w:r w:rsidRPr="008037D1">
        <w:t xml:space="preserve"> </w:t>
      </w:r>
      <w:r w:rsidR="00CF5BDB">
        <w:t xml:space="preserve">They will then bulk </w:t>
      </w:r>
      <w:r w:rsidRPr="008037D1">
        <w:t>upload</w:t>
      </w:r>
      <w:r w:rsidR="00CF5BDB">
        <w:t xml:space="preserve"> your data</w:t>
      </w:r>
      <w:r w:rsidRPr="008037D1">
        <w:t xml:space="preserve"> into the EDMS</w:t>
      </w:r>
      <w:r w:rsidRPr="00CF5BDB">
        <w:t>.</w:t>
      </w:r>
    </w:p>
    <w:p w14:paraId="76412709" w14:textId="30CC5168" w:rsidR="00CF5BDB" w:rsidRPr="00CF5BDB" w:rsidRDefault="00853F27">
      <w:pPr>
        <w:pStyle w:val="Bodyafterbullets"/>
      </w:pPr>
      <w:r w:rsidRPr="00CF5BDB">
        <w:t>To do this</w:t>
      </w:r>
      <w:r w:rsidR="00CF5BDB" w:rsidRPr="00CF5BDB">
        <w:t>:</w:t>
      </w:r>
    </w:p>
    <w:p w14:paraId="6EAB39DF" w14:textId="523E1080" w:rsidR="00CF5BDB" w:rsidRDefault="00853F27" w:rsidP="00CF5BDB">
      <w:pPr>
        <w:pStyle w:val="Bullet1"/>
      </w:pPr>
      <w:r w:rsidRPr="00853F27">
        <w:t xml:space="preserve">request a copy of the </w:t>
      </w:r>
      <w:r w:rsidRPr="008037D1">
        <w:rPr>
          <w:b/>
          <w:bCs/>
        </w:rPr>
        <w:t>bulk upload template</w:t>
      </w:r>
      <w:r w:rsidRPr="00853F27">
        <w:t xml:space="preserve"> from the </w:t>
      </w:r>
      <w:r w:rsidR="00CF5BDB" w:rsidRPr="008037D1">
        <w:t>department</w:t>
      </w:r>
      <w:r w:rsidRPr="00853F27">
        <w:t xml:space="preserve"> </w:t>
      </w:r>
      <w:r w:rsidR="00CF5BDB">
        <w:t xml:space="preserve">by emailing </w:t>
      </w:r>
      <w:r w:rsidRPr="008037D1">
        <w:rPr>
          <w:b/>
          <w:bCs/>
          <w:lang w:val="en-US"/>
        </w:rPr>
        <w:t>edms@health.vic.gov.au</w:t>
      </w:r>
    </w:p>
    <w:p w14:paraId="69E011F0" w14:textId="7F3314FC" w:rsidR="00CF5BDB" w:rsidRDefault="00CF5BDB" w:rsidP="00CF5BDB">
      <w:pPr>
        <w:pStyle w:val="Bullet1"/>
      </w:pPr>
      <w:r>
        <w:t>complete the template, including</w:t>
      </w:r>
      <w:r w:rsidRPr="00853F27">
        <w:t xml:space="preserve"> </w:t>
      </w:r>
      <w:r w:rsidR="00853F27" w:rsidRPr="00853F27">
        <w:t>the data</w:t>
      </w:r>
      <w:r>
        <w:t xml:space="preserve"> to be uploaded</w:t>
      </w:r>
    </w:p>
    <w:p w14:paraId="1C7916C5" w14:textId="03D17038" w:rsidR="00853F27" w:rsidRPr="00853F27" w:rsidRDefault="00CF5BDB" w:rsidP="008037D1">
      <w:pPr>
        <w:pStyle w:val="Bullet1"/>
      </w:pPr>
      <w:r>
        <w:t>email the completed form to</w:t>
      </w:r>
      <w:r w:rsidRPr="00853F27">
        <w:t xml:space="preserve"> </w:t>
      </w:r>
      <w:r w:rsidRPr="008037D1">
        <w:t>Eden Suite</w:t>
      </w:r>
      <w:r>
        <w:t>:</w:t>
      </w:r>
      <w:r w:rsidR="00853F27" w:rsidRPr="00853F27">
        <w:t xml:space="preserve"> </w:t>
      </w:r>
      <w:r w:rsidR="00853F27" w:rsidRPr="008037D1">
        <w:rPr>
          <w:b/>
          <w:bCs/>
        </w:rPr>
        <w:t>edms@intelligentpathways.com.au</w:t>
      </w:r>
      <w:r w:rsidR="00853F27" w:rsidRPr="00853F27">
        <w:t>.</w:t>
      </w:r>
    </w:p>
    <w:p w14:paraId="6C6B5250" w14:textId="14CABE88" w:rsidR="00853F27" w:rsidRPr="00853F27" w:rsidRDefault="00853F27" w:rsidP="008037D1">
      <w:pPr>
        <w:pStyle w:val="Heading2"/>
        <w:numPr>
          <w:ilvl w:val="1"/>
          <w:numId w:val="91"/>
        </w:numPr>
        <w:rPr>
          <w:rFonts w:eastAsia="Times"/>
        </w:rPr>
      </w:pPr>
      <w:bookmarkStart w:id="36" w:name="_Environmental_indicators_not"/>
      <w:bookmarkStart w:id="37" w:name="_Ref137572755"/>
      <w:bookmarkStart w:id="38" w:name="_Ref137572859"/>
      <w:bookmarkStart w:id="39" w:name="_Toc138239115"/>
      <w:bookmarkEnd w:id="36"/>
      <w:r w:rsidRPr="00853F27">
        <w:rPr>
          <w:rFonts w:eastAsia="Times"/>
        </w:rPr>
        <w:t>Environmental indicators not included in the EDMS</w:t>
      </w:r>
      <w:bookmarkEnd w:id="37"/>
      <w:bookmarkEnd w:id="38"/>
      <w:bookmarkEnd w:id="39"/>
      <w:r w:rsidRPr="00853F27">
        <w:rPr>
          <w:rFonts w:eastAsia="Times"/>
        </w:rPr>
        <w:t xml:space="preserve"> </w:t>
      </w:r>
    </w:p>
    <w:p w14:paraId="31F973DD" w14:textId="15B5DDF5" w:rsidR="00853F27" w:rsidRPr="00853F27" w:rsidRDefault="00881DE0" w:rsidP="00853F27">
      <w:pPr>
        <w:pStyle w:val="Body"/>
      </w:pPr>
      <w:r>
        <w:t>A</w:t>
      </w:r>
      <w:r w:rsidR="000D45CA">
        <w:t xml:space="preserve"> small number of FRD 24 indicators </w:t>
      </w:r>
      <w:r>
        <w:t>are</w:t>
      </w:r>
      <w:r w:rsidR="00853F27" w:rsidRPr="00853F27">
        <w:t xml:space="preserve"> no</w:t>
      </w:r>
      <w:r w:rsidR="00702E5A">
        <w:t>t</w:t>
      </w:r>
      <w:r w:rsidR="00853F27" w:rsidRPr="00853F27">
        <w:t xml:space="preserve"> included in the EDMS:</w:t>
      </w:r>
    </w:p>
    <w:p w14:paraId="0AAC87D8" w14:textId="1908C206" w:rsidR="00A862B3" w:rsidRDefault="00A862B3" w:rsidP="008037D1">
      <w:pPr>
        <w:pStyle w:val="Bullet1"/>
      </w:pPr>
      <w:r w:rsidRPr="008037D1">
        <w:rPr>
          <w:b/>
          <w:bCs/>
        </w:rPr>
        <w:t>WR2</w:t>
      </w:r>
      <w:r>
        <w:t xml:space="preserve">: </w:t>
      </w:r>
      <w:r w:rsidR="000C2A8D">
        <w:t>P</w:t>
      </w:r>
      <w:r>
        <w:t>ercentage of office sites covered by dedicated collection services for each waste stream.</w:t>
      </w:r>
    </w:p>
    <w:p w14:paraId="4597F4EE" w14:textId="0008189B" w:rsidR="00A862B3" w:rsidRPr="00853F27" w:rsidRDefault="000C2A8D" w:rsidP="008037D1">
      <w:pPr>
        <w:pStyle w:val="Bullet2"/>
      </w:pPr>
      <w:r>
        <w:t>O</w:t>
      </w:r>
      <w:r w:rsidR="00A862B3" w:rsidRPr="00853F27">
        <w:t>nly relevant for sites that are primarily used as an office.</w:t>
      </w:r>
    </w:p>
    <w:p w14:paraId="0CFEFD4E" w14:textId="332E5091" w:rsidR="00A862B3" w:rsidRDefault="00A862B3" w:rsidP="008037D1">
      <w:pPr>
        <w:pStyle w:val="Bullet2"/>
      </w:pPr>
      <w:r w:rsidRPr="00853F27">
        <w:rPr>
          <w:lang w:val="en-US"/>
        </w:rPr>
        <w:t xml:space="preserve">Government entities </w:t>
      </w:r>
      <w:r w:rsidR="000C2A8D">
        <w:rPr>
          <w:lang w:val="en-US"/>
        </w:rPr>
        <w:t xml:space="preserve">only </w:t>
      </w:r>
      <w:r w:rsidRPr="00853F27">
        <w:rPr>
          <w:lang w:val="en-US"/>
        </w:rPr>
        <w:t xml:space="preserve">need to report on the presence of dedicated collection services for specific waste streams and </w:t>
      </w:r>
      <w:r w:rsidRPr="008037D1">
        <w:rPr>
          <w:rStyle w:val="Strong"/>
        </w:rPr>
        <w:t>not</w:t>
      </w:r>
      <w:r w:rsidRPr="00853F27">
        <w:rPr>
          <w:lang w:val="en-US"/>
        </w:rPr>
        <w:t xml:space="preserve"> the amount of waste collected. </w:t>
      </w:r>
    </w:p>
    <w:p w14:paraId="6EF2335E" w14:textId="76DB78C6" w:rsidR="00853F27" w:rsidRDefault="00853F27" w:rsidP="008037D1">
      <w:pPr>
        <w:pStyle w:val="Bullet1"/>
      </w:pPr>
      <w:r w:rsidRPr="008037D1">
        <w:rPr>
          <w:b/>
          <w:bCs/>
        </w:rPr>
        <w:t>T2</w:t>
      </w:r>
      <w:r w:rsidRPr="00853F27">
        <w:t xml:space="preserve">: </w:t>
      </w:r>
      <w:r w:rsidR="000C2A8D">
        <w:t>N</w:t>
      </w:r>
      <w:r w:rsidRPr="00853F27">
        <w:t xml:space="preserve">umber and </w:t>
      </w:r>
      <w:r w:rsidRPr="007B4F70">
        <w:t>proportion</w:t>
      </w:r>
      <w:r w:rsidRPr="00853F27">
        <w:t xml:space="preserve"> of vehicles in the organisational boundary</w:t>
      </w:r>
      <w:r w:rsidR="000C2A8D">
        <w:t>,</w:t>
      </w:r>
      <w:r w:rsidRPr="00853F27">
        <w:t xml:space="preserve"> segmented by engine</w:t>
      </w:r>
      <w:r w:rsidR="000C2A8D">
        <w:t xml:space="preserve"> or </w:t>
      </w:r>
      <w:r w:rsidRPr="00853F27">
        <w:t>fuel type and vehicle category (</w:t>
      </w:r>
      <w:proofErr w:type="spellStart"/>
      <w:r w:rsidRPr="00853F27">
        <w:t>VicFleet</w:t>
      </w:r>
      <w:proofErr w:type="spellEnd"/>
      <w:r w:rsidRPr="00853F27">
        <w:t xml:space="preserve"> data). To </w:t>
      </w:r>
      <w:r w:rsidR="000C2A8D">
        <w:t>get</w:t>
      </w:r>
      <w:r w:rsidR="000C2A8D" w:rsidRPr="00853F27">
        <w:t xml:space="preserve"> </w:t>
      </w:r>
      <w:r w:rsidRPr="00853F27">
        <w:t xml:space="preserve">this data, email </w:t>
      </w:r>
      <w:r w:rsidR="000C2A8D" w:rsidRPr="008037D1">
        <w:rPr>
          <w:b/>
          <w:bCs/>
        </w:rPr>
        <w:t>vfcontracts@dtf.vic.gov.au</w:t>
      </w:r>
      <w:r w:rsidRPr="00853F27">
        <w:t>.</w:t>
      </w:r>
    </w:p>
    <w:p w14:paraId="11832A95" w14:textId="7AED0A1F" w:rsidR="002C1D13" w:rsidRPr="00682205" w:rsidRDefault="002C1D13" w:rsidP="008037D1">
      <w:pPr>
        <w:pStyle w:val="Bullet1"/>
      </w:pPr>
      <w:r w:rsidRPr="008037D1">
        <w:rPr>
          <w:b/>
          <w:bCs/>
        </w:rPr>
        <w:t>B3</w:t>
      </w:r>
      <w:r>
        <w:t>:</w:t>
      </w:r>
      <w:r w:rsidRPr="00682205">
        <w:t xml:space="preserve"> NABERS </w:t>
      </w:r>
      <w:r w:rsidR="00854FCD">
        <w:t>e</w:t>
      </w:r>
      <w:r w:rsidRPr="007B4F70">
        <w:t>nergy</w:t>
      </w:r>
      <w:r w:rsidRPr="00682205">
        <w:t xml:space="preserve"> ratings of newly completed</w:t>
      </w:r>
      <w:r w:rsidR="000C2A8D">
        <w:t xml:space="preserve"> or </w:t>
      </w:r>
      <w:r w:rsidRPr="00682205">
        <w:t>occupied entity-owned office buildings and substantial tenancy fit-outs</w:t>
      </w:r>
      <w:r>
        <w:t>.</w:t>
      </w:r>
    </w:p>
    <w:p w14:paraId="1E6D19C5" w14:textId="5162615D" w:rsidR="006B2A31" w:rsidRDefault="006B2A31" w:rsidP="008037D1">
      <w:pPr>
        <w:pStyle w:val="Bullet2"/>
      </w:pPr>
      <w:r w:rsidRPr="006B2A31">
        <w:t xml:space="preserve">This is </w:t>
      </w:r>
      <w:r w:rsidR="000C2A8D">
        <w:t xml:space="preserve">for </w:t>
      </w:r>
      <w:r w:rsidRPr="006B2A31">
        <w:t xml:space="preserve">any entity that builds a standalone office building. Hospitals and health services that do not </w:t>
      </w:r>
      <w:r w:rsidR="000C2A8D">
        <w:t>build</w:t>
      </w:r>
      <w:r w:rsidR="000C2A8D" w:rsidRPr="006B2A31">
        <w:t xml:space="preserve"> </w:t>
      </w:r>
      <w:r w:rsidRPr="006B2A31">
        <w:t xml:space="preserve">a standalone </w:t>
      </w:r>
      <w:r w:rsidR="000C2A8D">
        <w:t xml:space="preserve">office building </w:t>
      </w:r>
      <w:r w:rsidRPr="006B2A31">
        <w:t xml:space="preserve">do </w:t>
      </w:r>
      <w:r w:rsidRPr="008037D1">
        <w:rPr>
          <w:rStyle w:val="Strong"/>
        </w:rPr>
        <w:t>not</w:t>
      </w:r>
      <w:r w:rsidRPr="006B2A31">
        <w:t xml:space="preserve"> need to report against this indicator</w:t>
      </w:r>
      <w:r w:rsidR="000C2A8D">
        <w:t>.</w:t>
      </w:r>
    </w:p>
    <w:p w14:paraId="70E6E45F" w14:textId="4D5C4FBF" w:rsidR="00853F27" w:rsidRPr="00853F27" w:rsidRDefault="00853F27" w:rsidP="008037D1">
      <w:pPr>
        <w:pStyle w:val="Bodyafterbullets"/>
      </w:pPr>
      <w:r w:rsidRPr="00853F27">
        <w:t xml:space="preserve">There are also </w:t>
      </w:r>
      <w:r w:rsidR="000C2A8D">
        <w:t xml:space="preserve">qualitative </w:t>
      </w:r>
      <w:r w:rsidRPr="00853F27">
        <w:t xml:space="preserve">indicators that entities </w:t>
      </w:r>
      <w:r w:rsidR="000C2A8D">
        <w:t xml:space="preserve">must </w:t>
      </w:r>
      <w:r w:rsidRPr="00853F27">
        <w:t xml:space="preserve">manually </w:t>
      </w:r>
      <w:r w:rsidR="000C2A8D">
        <w:t>add to</w:t>
      </w:r>
      <w:r w:rsidRPr="00853F27">
        <w:t xml:space="preserve"> their reports:</w:t>
      </w:r>
    </w:p>
    <w:p w14:paraId="64D40D57" w14:textId="78D4DD1D" w:rsidR="00853F27" w:rsidRPr="00853F27" w:rsidRDefault="00853F27" w:rsidP="008037D1">
      <w:pPr>
        <w:pStyle w:val="Bullet1"/>
      </w:pPr>
      <w:r w:rsidRPr="008037D1">
        <w:rPr>
          <w:b/>
          <w:bCs/>
        </w:rPr>
        <w:t>B1</w:t>
      </w:r>
      <w:r w:rsidRPr="00853F27">
        <w:t xml:space="preserve">: </w:t>
      </w:r>
      <w:r w:rsidR="000C2A8D">
        <w:t>D</w:t>
      </w:r>
      <w:r w:rsidR="000C2A8D" w:rsidRPr="00853F27">
        <w:t xml:space="preserve">iscuss </w:t>
      </w:r>
      <w:r w:rsidRPr="00853F27">
        <w:t xml:space="preserve">how environmentally </w:t>
      </w:r>
      <w:r w:rsidRPr="007B4F70">
        <w:t>sustainable</w:t>
      </w:r>
      <w:r w:rsidRPr="00853F27">
        <w:t xml:space="preserve"> design is incorporated into newly completed entity</w:t>
      </w:r>
      <w:r w:rsidR="000C2A8D">
        <w:noBreakHyphen/>
      </w:r>
      <w:r w:rsidRPr="00853F27">
        <w:t xml:space="preserve">owned buildings </w:t>
      </w:r>
    </w:p>
    <w:p w14:paraId="5C1696F1" w14:textId="070D5BDD" w:rsidR="00682205" w:rsidRDefault="00853F27">
      <w:pPr>
        <w:pStyle w:val="Bullet1"/>
      </w:pPr>
      <w:r w:rsidRPr="008037D1">
        <w:rPr>
          <w:b/>
          <w:bCs/>
        </w:rPr>
        <w:t>B2</w:t>
      </w:r>
      <w:r w:rsidRPr="00853F27">
        <w:t xml:space="preserve">: </w:t>
      </w:r>
      <w:r w:rsidR="000C2A8D">
        <w:t>D</w:t>
      </w:r>
      <w:r w:rsidR="000C2A8D" w:rsidRPr="00853F27">
        <w:t xml:space="preserve">iscuss </w:t>
      </w:r>
      <w:r w:rsidRPr="00853F27">
        <w:t xml:space="preserve">how new entity leases meet the requirements to </w:t>
      </w:r>
      <w:r w:rsidRPr="007B4F70">
        <w:t>preference</w:t>
      </w:r>
      <w:r w:rsidRPr="00853F27">
        <w:t xml:space="preserve"> higher rated office</w:t>
      </w:r>
      <w:r w:rsidR="000C2A8D">
        <w:t xml:space="preserve"> </w:t>
      </w:r>
      <w:r w:rsidRPr="00853F27">
        <w:t xml:space="preserve">buildings </w:t>
      </w:r>
      <w:r w:rsidR="00F35470">
        <w:t>(</w:t>
      </w:r>
      <w:r w:rsidRPr="00853F27">
        <w:t>only mandatory where a government entity leases an independent office space</w:t>
      </w:r>
      <w:r w:rsidR="00F35470">
        <w:t>)</w:t>
      </w:r>
      <w:r w:rsidRPr="00853F27">
        <w:t>.</w:t>
      </w:r>
    </w:p>
    <w:p w14:paraId="1E5841D5" w14:textId="0B022B8B" w:rsidR="00853F27" w:rsidRPr="00853F27" w:rsidRDefault="00853F27" w:rsidP="008037D1">
      <w:pPr>
        <w:pStyle w:val="Heading2"/>
        <w:numPr>
          <w:ilvl w:val="1"/>
          <w:numId w:val="91"/>
        </w:numPr>
        <w:rPr>
          <w:rFonts w:eastAsia="Times"/>
        </w:rPr>
      </w:pPr>
      <w:bookmarkStart w:id="40" w:name="_Toc137721900"/>
      <w:bookmarkStart w:id="41" w:name="_Toc137727402"/>
      <w:bookmarkStart w:id="42" w:name="_Toc138239116"/>
      <w:bookmarkEnd w:id="40"/>
      <w:bookmarkEnd w:id="41"/>
      <w:r w:rsidRPr="00853F27">
        <w:rPr>
          <w:rFonts w:eastAsia="Times"/>
        </w:rPr>
        <w:t>Data sources for the EDMS</w:t>
      </w:r>
      <w:bookmarkEnd w:id="42"/>
    </w:p>
    <w:p w14:paraId="3AE259E7" w14:textId="24090117" w:rsidR="00853F27" w:rsidRPr="00853F27" w:rsidRDefault="00FE3818" w:rsidP="00853F27">
      <w:pPr>
        <w:pStyle w:val="Body"/>
      </w:pPr>
      <w:r w:rsidRPr="008037D1">
        <w:rPr>
          <w:b/>
          <w:bCs/>
        </w:rPr>
        <w:fldChar w:fldCharType="begin"/>
      </w:r>
      <w:r w:rsidRPr="008037D1">
        <w:rPr>
          <w:b/>
          <w:bCs/>
        </w:rPr>
        <w:instrText xml:space="preserve"> REF _Ref137569561 \h </w:instrText>
      </w:r>
      <w:r>
        <w:rPr>
          <w:b/>
          <w:bCs/>
        </w:rPr>
        <w:instrText xml:space="preserve"> \* MERGEFORMAT </w:instrText>
      </w:r>
      <w:r w:rsidRPr="008037D1">
        <w:rPr>
          <w:b/>
          <w:bCs/>
        </w:rPr>
      </w:r>
      <w:r w:rsidRPr="008037D1">
        <w:rPr>
          <w:b/>
          <w:bCs/>
        </w:rPr>
        <w:fldChar w:fldCharType="separate"/>
      </w:r>
      <w:r w:rsidR="00C52465" w:rsidRPr="008037D1">
        <w:rPr>
          <w:b/>
          <w:bCs/>
        </w:rPr>
        <w:t xml:space="preserve">Table </w:t>
      </w:r>
      <w:r w:rsidR="00C52465" w:rsidRPr="008037D1">
        <w:rPr>
          <w:b/>
          <w:bCs/>
          <w:noProof/>
        </w:rPr>
        <w:t>1</w:t>
      </w:r>
      <w:r w:rsidRPr="008037D1">
        <w:rPr>
          <w:b/>
          <w:bCs/>
        </w:rPr>
        <w:fldChar w:fldCharType="end"/>
      </w:r>
      <w:r w:rsidR="00853F27" w:rsidRPr="00853F27">
        <w:t xml:space="preserve"> outlines the sources of bulk data that is uploaded and data </w:t>
      </w:r>
      <w:r w:rsidR="00590D33">
        <w:t xml:space="preserve">that is </w:t>
      </w:r>
      <w:r w:rsidR="00853F27" w:rsidRPr="00853F27">
        <w:t xml:space="preserve">not linked to </w:t>
      </w:r>
      <w:r w:rsidR="00215BD3">
        <w:t xml:space="preserve">the </w:t>
      </w:r>
      <w:r w:rsidR="00853F27" w:rsidRPr="00853F27">
        <w:t>EDMS</w:t>
      </w:r>
      <w:r w:rsidR="00EE5089">
        <w:t>.</w:t>
      </w:r>
    </w:p>
    <w:p w14:paraId="0C3B7F65" w14:textId="2A16826C" w:rsidR="00EE5089" w:rsidRDefault="00EE5089" w:rsidP="008037D1">
      <w:pPr>
        <w:pStyle w:val="Tablecaption"/>
      </w:pPr>
      <w:bookmarkStart w:id="43" w:name="_Ref137569561"/>
      <w:r>
        <w:t xml:space="preserve">Table </w:t>
      </w:r>
      <w:fldSimple w:instr=" SEQ Table \* ARABIC ">
        <w:r w:rsidR="00C52465">
          <w:rPr>
            <w:noProof/>
          </w:rPr>
          <w:t>1</w:t>
        </w:r>
      </w:fldSimple>
      <w:bookmarkEnd w:id="43"/>
      <w:r>
        <w:t xml:space="preserve">: </w:t>
      </w:r>
      <w:r w:rsidR="00FE3818">
        <w:t>Bulk data sources</w:t>
      </w:r>
    </w:p>
    <w:tbl>
      <w:tblPr>
        <w:tblStyle w:val="Bluetable"/>
        <w:tblW w:w="9776" w:type="dxa"/>
        <w:tblInd w:w="5" w:type="dxa"/>
        <w:tblLook w:val="04A0" w:firstRow="1" w:lastRow="0" w:firstColumn="1" w:lastColumn="0" w:noHBand="0" w:noVBand="1"/>
      </w:tblPr>
      <w:tblGrid>
        <w:gridCol w:w="1696"/>
        <w:gridCol w:w="4253"/>
        <w:gridCol w:w="3827"/>
      </w:tblGrid>
      <w:tr w:rsidR="00EE5089" w:rsidRPr="00EE5089" w14:paraId="0BEDA476" w14:textId="77777777" w:rsidTr="008037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189FBE60" w14:textId="3B110BE7" w:rsidR="00853F27" w:rsidRPr="008037D1" w:rsidRDefault="00853F27" w:rsidP="00702E5A">
            <w:pPr>
              <w:pStyle w:val="Tablecolhead"/>
              <w:rPr>
                <w:lang w:val="en-AU"/>
              </w:rPr>
            </w:pPr>
            <w:r w:rsidRPr="00EE5089">
              <w:t xml:space="preserve">Activity </w:t>
            </w:r>
            <w:r w:rsidR="00BA5AB0" w:rsidRPr="00EE5089">
              <w:t>group</w:t>
            </w:r>
          </w:p>
        </w:tc>
        <w:tc>
          <w:tcPr>
            <w:tcW w:w="4253" w:type="dxa"/>
          </w:tcPr>
          <w:p w14:paraId="435718FB" w14:textId="30C0EB97" w:rsidR="00853F27" w:rsidRPr="008037D1" w:rsidRDefault="000C2A8D" w:rsidP="00702E5A">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S</w:t>
            </w:r>
            <w:proofErr w:type="spellStart"/>
            <w:r w:rsidR="00853F27" w:rsidRPr="00EE5089">
              <w:t>ources</w:t>
            </w:r>
            <w:proofErr w:type="spellEnd"/>
            <w:r w:rsidR="00853F27" w:rsidRPr="00EE5089">
              <w:t xml:space="preserve"> uploaded centrally to EDMS </w:t>
            </w:r>
          </w:p>
        </w:tc>
        <w:tc>
          <w:tcPr>
            <w:tcW w:w="3827" w:type="dxa"/>
          </w:tcPr>
          <w:p w14:paraId="7F66202F" w14:textId="239DCA23" w:rsidR="00853F27" w:rsidRPr="008037D1" w:rsidRDefault="000C2A8D" w:rsidP="00702E5A">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S</w:t>
            </w:r>
            <w:proofErr w:type="spellStart"/>
            <w:r w:rsidR="00853F27" w:rsidRPr="00EE5089">
              <w:t>ources</w:t>
            </w:r>
            <w:proofErr w:type="spellEnd"/>
            <w:r w:rsidR="00853F27" w:rsidRPr="00EE5089">
              <w:t xml:space="preserve"> </w:t>
            </w:r>
            <w:r w:rsidR="00EA381D" w:rsidRPr="00EE5089">
              <w:t xml:space="preserve">not </w:t>
            </w:r>
            <w:r w:rsidR="00853F27" w:rsidRPr="00EE5089">
              <w:t>upload</w:t>
            </w:r>
            <w:r>
              <w:rPr>
                <w:lang w:val="en-AU"/>
              </w:rPr>
              <w:t>ed</w:t>
            </w:r>
            <w:r w:rsidR="00853F27" w:rsidRPr="00EE5089">
              <w:t xml:space="preserve"> to EDMS</w:t>
            </w:r>
          </w:p>
        </w:tc>
      </w:tr>
      <w:tr w:rsidR="000C2A8D" w:rsidRPr="00EE5089" w14:paraId="72B0B479"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D4CE92" w14:textId="0B008544" w:rsidR="00853F27" w:rsidRPr="008037D1" w:rsidRDefault="00853F27" w:rsidP="008037D1">
            <w:pPr>
              <w:pStyle w:val="Tabletext"/>
              <w:rPr>
                <w:lang w:val="en-AU"/>
              </w:rPr>
            </w:pPr>
            <w:r w:rsidRPr="008037D1">
              <w:rPr>
                <w:rFonts w:eastAsia="Times New Roman"/>
              </w:rPr>
              <w:t xml:space="preserve">Electricity </w:t>
            </w:r>
          </w:p>
        </w:tc>
        <w:tc>
          <w:tcPr>
            <w:tcW w:w="4253" w:type="dxa"/>
          </w:tcPr>
          <w:p w14:paraId="1305898A" w14:textId="225E027F"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b/>
                <w:bCs/>
              </w:rPr>
              <w:t xml:space="preserve">HSV </w:t>
            </w:r>
            <w:r w:rsidR="00BA5AB0" w:rsidRPr="008037D1">
              <w:rPr>
                <w:rFonts w:eastAsia="Times New Roman"/>
                <w:b/>
                <w:bCs/>
              </w:rPr>
              <w:t>supply agreement</w:t>
            </w:r>
            <w:r w:rsidRPr="008037D1">
              <w:rPr>
                <w:rFonts w:eastAsia="Times New Roman"/>
              </w:rPr>
              <w:t xml:space="preserve">: Electricity </w:t>
            </w:r>
            <w:r w:rsidR="00EE5089" w:rsidRPr="008037D1">
              <w:rPr>
                <w:rFonts w:eastAsia="Times New Roman"/>
              </w:rPr>
              <w:t xml:space="preserve">greater than </w:t>
            </w:r>
            <w:r w:rsidRPr="008037D1">
              <w:rPr>
                <w:rFonts w:eastAsia="Times New Roman"/>
              </w:rPr>
              <w:t xml:space="preserve">160 MWh </w:t>
            </w:r>
            <w:r w:rsidR="00BA5AB0" w:rsidRPr="008037D1">
              <w:rPr>
                <w:rFonts w:eastAsia="Times New Roman"/>
              </w:rPr>
              <w:t>per year</w:t>
            </w:r>
            <w:r w:rsidRPr="008037D1">
              <w:rPr>
                <w:rFonts w:eastAsia="Times New Roman"/>
              </w:rPr>
              <w:t xml:space="preserve"> (for large sites)</w:t>
            </w:r>
          </w:p>
          <w:p w14:paraId="567A2615" w14:textId="0B928919"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b/>
                <w:bCs/>
              </w:rPr>
              <w:t>DTF</w:t>
            </w:r>
            <w:r w:rsidRPr="008037D1">
              <w:rPr>
                <w:rFonts w:eastAsia="Times New Roman"/>
              </w:rPr>
              <w:t xml:space="preserve">: State </w:t>
            </w:r>
            <w:r w:rsidR="00EE5089" w:rsidRPr="008037D1">
              <w:rPr>
                <w:rFonts w:eastAsia="Times New Roman"/>
              </w:rPr>
              <w:t>purchasing contract</w:t>
            </w:r>
          </w:p>
          <w:p w14:paraId="40B52420" w14:textId="20A59DB7"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b/>
                <w:bCs/>
              </w:rPr>
              <w:t>Eden Suite</w:t>
            </w:r>
            <w:r w:rsidRPr="008037D1">
              <w:rPr>
                <w:rFonts w:eastAsia="Times New Roman"/>
              </w:rPr>
              <w:t>: select major retailers (Alinta, AGL, Shell Energy, RED Energy, Origin and Energy Australia)</w:t>
            </w:r>
            <w:r w:rsidR="00702E5A" w:rsidRPr="008037D1">
              <w:rPr>
                <w:rStyle w:val="FootnoteReference"/>
                <w:rFonts w:eastAsia="Times New Roman"/>
              </w:rPr>
              <w:footnoteReference w:id="3"/>
            </w:r>
            <w:r w:rsidR="00EE5089" w:rsidRPr="008037D1">
              <w:rPr>
                <w:rFonts w:eastAsia="Times New Roman"/>
              </w:rPr>
              <w:br/>
            </w:r>
            <w:r w:rsidR="00EE5089" w:rsidRPr="008037D1">
              <w:rPr>
                <w:rFonts w:eastAsia="Times New Roman"/>
                <w:b/>
                <w:bCs/>
              </w:rPr>
              <w:t>Note</w:t>
            </w:r>
            <w:r w:rsidR="00EE5089" w:rsidRPr="008037D1">
              <w:rPr>
                <w:rFonts w:eastAsia="Times New Roman"/>
              </w:rPr>
              <w:t xml:space="preserve">: </w:t>
            </w:r>
            <w:r w:rsidR="00EA381D" w:rsidRPr="008037D1">
              <w:rPr>
                <w:rFonts w:eastAsia="Times New Roman"/>
              </w:rPr>
              <w:t xml:space="preserve">A </w:t>
            </w:r>
            <w:r w:rsidR="00EE5089" w:rsidRPr="008037D1">
              <w:rPr>
                <w:rFonts w:eastAsia="Times New Roman"/>
              </w:rPr>
              <w:t xml:space="preserve">letter of authority </w:t>
            </w:r>
            <w:r w:rsidRPr="008037D1">
              <w:rPr>
                <w:rFonts w:eastAsia="Times New Roman"/>
              </w:rPr>
              <w:t xml:space="preserve">needs to be </w:t>
            </w:r>
            <w:r w:rsidR="00EE5089" w:rsidRPr="008037D1">
              <w:rPr>
                <w:rFonts w:eastAsia="Times New Roman"/>
              </w:rPr>
              <w:t xml:space="preserve">given </w:t>
            </w:r>
            <w:r w:rsidRPr="008037D1">
              <w:rPr>
                <w:rFonts w:eastAsia="Times New Roman"/>
              </w:rPr>
              <w:t xml:space="preserve">to Eden Suite to </w:t>
            </w:r>
            <w:proofErr w:type="spellStart"/>
            <w:r w:rsidRPr="008037D1">
              <w:rPr>
                <w:rFonts w:eastAsia="Times New Roman"/>
              </w:rPr>
              <w:t>forwar</w:t>
            </w:r>
            <w:proofErr w:type="spellEnd"/>
            <w:r w:rsidR="000C2A8D">
              <w:rPr>
                <w:lang w:val="en-AU"/>
              </w:rPr>
              <w:t>d</w:t>
            </w:r>
            <w:r w:rsidRPr="008037D1">
              <w:rPr>
                <w:rFonts w:eastAsia="Times New Roman"/>
              </w:rPr>
              <w:t xml:space="preserve"> to the relevant supplier to </w:t>
            </w:r>
            <w:r w:rsidR="00EE5089" w:rsidRPr="008037D1">
              <w:rPr>
                <w:rFonts w:eastAsia="Times New Roman"/>
              </w:rPr>
              <w:t xml:space="preserve">show </w:t>
            </w:r>
            <w:r w:rsidRPr="008037D1">
              <w:rPr>
                <w:rFonts w:eastAsia="Times New Roman"/>
              </w:rPr>
              <w:t>permission to receive data</w:t>
            </w:r>
          </w:p>
        </w:tc>
        <w:tc>
          <w:tcPr>
            <w:tcW w:w="3827" w:type="dxa"/>
          </w:tcPr>
          <w:p w14:paraId="0037AB3B" w14:textId="77777777" w:rsidR="00853F27" w:rsidRPr="008037D1" w:rsidRDefault="00853F2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Locally arranged supply agreements</w:t>
            </w:r>
          </w:p>
        </w:tc>
      </w:tr>
      <w:tr w:rsidR="000C2A8D" w:rsidRPr="00EE5089" w14:paraId="7FCB075C"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9A5ADC" w14:textId="2DA36ACD" w:rsidR="00853F27" w:rsidRPr="008037D1" w:rsidRDefault="00853F27" w:rsidP="008037D1">
            <w:pPr>
              <w:pStyle w:val="Tabletext"/>
              <w:rPr>
                <w:lang w:val="en-AU"/>
              </w:rPr>
            </w:pPr>
            <w:r w:rsidRPr="008037D1">
              <w:rPr>
                <w:rFonts w:eastAsia="Times New Roman"/>
              </w:rPr>
              <w:t xml:space="preserve">Natural </w:t>
            </w:r>
            <w:r w:rsidR="000C2A8D">
              <w:rPr>
                <w:lang w:val="en-AU"/>
              </w:rPr>
              <w:t>g</w:t>
            </w:r>
            <w:r w:rsidRPr="008037D1">
              <w:rPr>
                <w:rFonts w:eastAsia="Times New Roman"/>
              </w:rPr>
              <w:t>as</w:t>
            </w:r>
          </w:p>
        </w:tc>
        <w:tc>
          <w:tcPr>
            <w:tcW w:w="4253" w:type="dxa"/>
          </w:tcPr>
          <w:p w14:paraId="629C88C8" w14:textId="6D0CFAE5"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 xml:space="preserve">HSV </w:t>
            </w:r>
            <w:r w:rsidR="00EE5089" w:rsidRPr="008037D1">
              <w:rPr>
                <w:rFonts w:eastAsia="Times New Roman"/>
                <w:b/>
                <w:bCs/>
              </w:rPr>
              <w:t>supply agreement</w:t>
            </w:r>
            <w:r w:rsidRPr="008037D1">
              <w:rPr>
                <w:rFonts w:eastAsia="Times New Roman"/>
              </w:rPr>
              <w:t xml:space="preserve">: Natural </w:t>
            </w:r>
            <w:r w:rsidR="00EE5089" w:rsidRPr="008037D1">
              <w:rPr>
                <w:rFonts w:eastAsia="Times New Roman"/>
              </w:rPr>
              <w:t xml:space="preserve">gas greater than </w:t>
            </w:r>
            <w:r w:rsidRPr="008037D1">
              <w:rPr>
                <w:rFonts w:eastAsia="Times New Roman"/>
              </w:rPr>
              <w:t xml:space="preserve">5 TJ </w:t>
            </w:r>
            <w:r w:rsidR="00EE5089" w:rsidRPr="008037D1">
              <w:rPr>
                <w:rFonts w:eastAsia="Times New Roman"/>
              </w:rPr>
              <w:t>per year</w:t>
            </w:r>
            <w:r w:rsidRPr="008037D1">
              <w:rPr>
                <w:rFonts w:eastAsia="Times New Roman"/>
              </w:rPr>
              <w:t xml:space="preserve"> (for large sites)</w:t>
            </w:r>
          </w:p>
          <w:p w14:paraId="2A38467C" w14:textId="26021B3B"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DTF</w:t>
            </w:r>
            <w:r w:rsidRPr="008037D1">
              <w:rPr>
                <w:rFonts w:eastAsia="Times New Roman"/>
              </w:rPr>
              <w:t xml:space="preserve">: State </w:t>
            </w:r>
            <w:r w:rsidR="00EE5089" w:rsidRPr="008037D1">
              <w:rPr>
                <w:rFonts w:eastAsia="Times New Roman"/>
              </w:rPr>
              <w:t>purchasing contract</w:t>
            </w:r>
          </w:p>
          <w:p w14:paraId="0AED6C19" w14:textId="3D14B0FB"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Eden Suite</w:t>
            </w:r>
            <w:r w:rsidRPr="008037D1">
              <w:rPr>
                <w:rFonts w:eastAsia="Times New Roman"/>
              </w:rPr>
              <w:t>: select major retailers (Alinta, AGL, Origin, Energy Australia)</w:t>
            </w:r>
            <w:r w:rsidR="00702E5A" w:rsidRPr="008037D1">
              <w:rPr>
                <w:rStyle w:val="FootnoteReference"/>
                <w:rFonts w:eastAsia="Times New Roman"/>
              </w:rPr>
              <w:footnoteReference w:id="4"/>
            </w:r>
            <w:r w:rsidR="00EE5089" w:rsidRPr="008037D1">
              <w:rPr>
                <w:rFonts w:eastAsia="Times New Roman"/>
              </w:rPr>
              <w:br/>
            </w:r>
            <w:r w:rsidR="00EE5089" w:rsidRPr="008037D1">
              <w:rPr>
                <w:rFonts w:eastAsia="Times New Roman"/>
                <w:b/>
                <w:bCs/>
              </w:rPr>
              <w:t>Note</w:t>
            </w:r>
            <w:r w:rsidR="00EE5089" w:rsidRPr="008037D1">
              <w:rPr>
                <w:rFonts w:eastAsia="Times New Roman"/>
              </w:rPr>
              <w:t xml:space="preserve">: </w:t>
            </w:r>
            <w:r w:rsidR="00EA381D" w:rsidRPr="008037D1">
              <w:rPr>
                <w:rFonts w:eastAsia="Times New Roman"/>
              </w:rPr>
              <w:t xml:space="preserve">A </w:t>
            </w:r>
            <w:r w:rsidR="00EE5089" w:rsidRPr="008037D1">
              <w:rPr>
                <w:rFonts w:eastAsia="Times New Roman"/>
              </w:rPr>
              <w:t xml:space="preserve">letter of authority </w:t>
            </w:r>
            <w:r w:rsidRPr="008037D1">
              <w:rPr>
                <w:rFonts w:eastAsia="Times New Roman"/>
              </w:rPr>
              <w:t xml:space="preserve">needs to be </w:t>
            </w:r>
            <w:r w:rsidR="00EE5089" w:rsidRPr="008037D1">
              <w:rPr>
                <w:rFonts w:eastAsia="Times New Roman"/>
              </w:rPr>
              <w:t xml:space="preserve">given </w:t>
            </w:r>
            <w:r w:rsidRPr="008037D1">
              <w:rPr>
                <w:rFonts w:eastAsia="Times New Roman"/>
              </w:rPr>
              <w:t xml:space="preserve">to Eden Suite to forward to the relevant supplier to </w:t>
            </w:r>
            <w:r w:rsidR="00EE5089" w:rsidRPr="008037D1">
              <w:rPr>
                <w:rFonts w:eastAsia="Times New Roman"/>
              </w:rPr>
              <w:t xml:space="preserve">show </w:t>
            </w:r>
            <w:r w:rsidRPr="008037D1">
              <w:rPr>
                <w:rFonts w:eastAsia="Times New Roman"/>
              </w:rPr>
              <w:t>permission to receive data</w:t>
            </w:r>
          </w:p>
        </w:tc>
        <w:tc>
          <w:tcPr>
            <w:tcW w:w="3827" w:type="dxa"/>
          </w:tcPr>
          <w:p w14:paraId="7F9B319B" w14:textId="25BB9943" w:rsidR="00853F27" w:rsidRPr="008037D1" w:rsidRDefault="00853F2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Locally arranged supply agreements</w:t>
            </w:r>
          </w:p>
        </w:tc>
      </w:tr>
      <w:tr w:rsidR="000C2A8D" w:rsidRPr="00EE5089" w14:paraId="40ADCE02"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E63E99" w14:textId="77777777" w:rsidR="00853F27" w:rsidRPr="008037D1" w:rsidRDefault="00853F27" w:rsidP="008037D1">
            <w:pPr>
              <w:pStyle w:val="Tabletext"/>
              <w:rPr>
                <w:lang w:val="en-AU"/>
              </w:rPr>
            </w:pPr>
            <w:r w:rsidRPr="008037D1">
              <w:rPr>
                <w:rFonts w:eastAsia="Times New Roman"/>
              </w:rPr>
              <w:t>Waste and recycling</w:t>
            </w:r>
          </w:p>
        </w:tc>
        <w:tc>
          <w:tcPr>
            <w:tcW w:w="4253" w:type="dxa"/>
          </w:tcPr>
          <w:p w14:paraId="5DFC35E4" w14:textId="3C09BB6B"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b/>
                <w:bCs/>
              </w:rPr>
              <w:t>HSV</w:t>
            </w:r>
            <w:r w:rsidRPr="008037D1">
              <w:rPr>
                <w:rFonts w:eastAsia="Times New Roman"/>
              </w:rPr>
              <w:t xml:space="preserve">: Waste </w:t>
            </w:r>
            <w:r w:rsidR="00EE5089" w:rsidRPr="008037D1">
              <w:rPr>
                <w:rFonts w:eastAsia="Times New Roman"/>
              </w:rPr>
              <w:t>management services</w:t>
            </w:r>
          </w:p>
          <w:p w14:paraId="2FAC6284" w14:textId="28F3578A"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b/>
                <w:bCs/>
              </w:rPr>
              <w:t>D</w:t>
            </w:r>
            <w:r w:rsidR="00800C1D" w:rsidRPr="008037D1">
              <w:rPr>
                <w:rFonts w:eastAsia="Times New Roman"/>
                <w:b/>
                <w:bCs/>
              </w:rPr>
              <w:t>epartment</w:t>
            </w:r>
            <w:r w:rsidRPr="008037D1">
              <w:rPr>
                <w:rFonts w:eastAsia="Times New Roman"/>
              </w:rPr>
              <w:t xml:space="preserve">: Medical PVC recycling collections </w:t>
            </w:r>
            <w:proofErr w:type="spellStart"/>
            <w:r w:rsidRPr="008037D1">
              <w:rPr>
                <w:rFonts w:eastAsia="Times New Roman"/>
              </w:rPr>
              <w:t>organised</w:t>
            </w:r>
            <w:proofErr w:type="spellEnd"/>
            <w:r w:rsidRPr="008037D1">
              <w:rPr>
                <w:rFonts w:eastAsia="Times New Roman"/>
              </w:rPr>
              <w:t xml:space="preserve"> through the </w:t>
            </w:r>
            <w:proofErr w:type="spellStart"/>
            <w:r w:rsidRPr="008037D1">
              <w:rPr>
                <w:rFonts w:eastAsia="Times New Roman"/>
              </w:rPr>
              <w:t>Vinyls</w:t>
            </w:r>
            <w:proofErr w:type="spellEnd"/>
            <w:r w:rsidRPr="008037D1">
              <w:rPr>
                <w:rFonts w:eastAsia="Times New Roman"/>
              </w:rPr>
              <w:t xml:space="preserve"> Council</w:t>
            </w:r>
          </w:p>
        </w:tc>
        <w:tc>
          <w:tcPr>
            <w:tcW w:w="3827" w:type="dxa"/>
          </w:tcPr>
          <w:p w14:paraId="034C3102" w14:textId="3B903876" w:rsidR="00853F27" w:rsidRPr="008037D1" w:rsidRDefault="00800C1D"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lang w:val="en-AU"/>
              </w:rPr>
              <w:t>O</w:t>
            </w:r>
            <w:proofErr w:type="spellStart"/>
            <w:r w:rsidR="00853F27" w:rsidRPr="008037D1">
              <w:rPr>
                <w:rFonts w:eastAsia="Times New Roman"/>
              </w:rPr>
              <w:t>ther</w:t>
            </w:r>
            <w:proofErr w:type="spellEnd"/>
            <w:r w:rsidR="00853F27" w:rsidRPr="008037D1">
              <w:rPr>
                <w:rFonts w:eastAsia="Times New Roman"/>
              </w:rPr>
              <w:t xml:space="preserve"> </w:t>
            </w:r>
            <w:r w:rsidR="00BA5AB0" w:rsidRPr="008037D1">
              <w:rPr>
                <w:rFonts w:eastAsia="Times New Roman"/>
              </w:rPr>
              <w:t xml:space="preserve">waste service </w:t>
            </w:r>
            <w:r w:rsidR="00853F27" w:rsidRPr="008037D1">
              <w:rPr>
                <w:rFonts w:eastAsia="Times New Roman"/>
              </w:rPr>
              <w:t xml:space="preserve">providers used, including </w:t>
            </w:r>
            <w:r w:rsidR="00BA5AB0" w:rsidRPr="008037D1">
              <w:rPr>
                <w:rFonts w:eastAsia="Times New Roman"/>
              </w:rPr>
              <w:t>‘</w:t>
            </w:r>
            <w:r w:rsidR="00853F27" w:rsidRPr="008037D1">
              <w:rPr>
                <w:rFonts w:eastAsia="Times New Roman"/>
              </w:rPr>
              <w:t>off-contract</w:t>
            </w:r>
            <w:r w:rsidR="00BA5AB0" w:rsidRPr="008037D1">
              <w:rPr>
                <w:rFonts w:eastAsia="Times New Roman"/>
              </w:rPr>
              <w:t>’</w:t>
            </w:r>
            <w:r w:rsidR="00853F27" w:rsidRPr="008037D1">
              <w:rPr>
                <w:rFonts w:eastAsia="Times New Roman"/>
              </w:rPr>
              <w:t xml:space="preserve"> services by HSV</w:t>
            </w:r>
            <w:r w:rsidR="00BA5AB0" w:rsidRPr="008037D1">
              <w:rPr>
                <w:rFonts w:eastAsia="Times New Roman"/>
              </w:rPr>
              <w:t>.</w:t>
            </w:r>
          </w:p>
          <w:p w14:paraId="1D00BF0B" w14:textId="26D2E594"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Contractors and local council (</w:t>
            </w:r>
            <w:r w:rsidR="00BA5AB0" w:rsidRPr="008037D1">
              <w:rPr>
                <w:rFonts w:eastAsia="Times New Roman"/>
              </w:rPr>
              <w:t>like</w:t>
            </w:r>
            <w:r w:rsidRPr="008037D1">
              <w:rPr>
                <w:rFonts w:eastAsia="Times New Roman"/>
              </w:rPr>
              <w:t xml:space="preserve"> ‘</w:t>
            </w:r>
            <w:proofErr w:type="spellStart"/>
            <w:r w:rsidRPr="008037D1">
              <w:rPr>
                <w:rFonts w:eastAsia="Times New Roman"/>
              </w:rPr>
              <w:t>speciality</w:t>
            </w:r>
            <w:proofErr w:type="spellEnd"/>
            <w:r w:rsidRPr="008037D1">
              <w:rPr>
                <w:rFonts w:eastAsia="Times New Roman"/>
              </w:rPr>
              <w:t>’ recycling streams and council rate notices)</w:t>
            </w:r>
          </w:p>
        </w:tc>
      </w:tr>
      <w:tr w:rsidR="000C2A8D" w:rsidRPr="00EE5089" w14:paraId="516AFF24"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C4F85E" w14:textId="77777777" w:rsidR="00853F27" w:rsidRPr="008037D1" w:rsidRDefault="00853F27" w:rsidP="008037D1">
            <w:pPr>
              <w:pStyle w:val="Tabletext"/>
              <w:rPr>
                <w:lang w:val="en-AU"/>
              </w:rPr>
            </w:pPr>
            <w:r w:rsidRPr="008037D1">
              <w:rPr>
                <w:rFonts w:eastAsia="Times New Roman"/>
              </w:rPr>
              <w:t>Medical gases and refrigerants</w:t>
            </w:r>
          </w:p>
        </w:tc>
        <w:tc>
          <w:tcPr>
            <w:tcW w:w="4253" w:type="dxa"/>
          </w:tcPr>
          <w:p w14:paraId="2D791F97" w14:textId="03BE2906"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To be confirmed</w:t>
            </w:r>
          </w:p>
          <w:p w14:paraId="569CCB78" w14:textId="138C8875" w:rsidR="00BA5AB0" w:rsidRPr="008037D1" w:rsidRDefault="00853F27" w:rsidP="008037D1">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227074">
              <w:t>Project</w:t>
            </w:r>
            <w:r w:rsidR="00BA5AB0" w:rsidRPr="00227074">
              <w:t>s</w:t>
            </w:r>
            <w:r w:rsidRPr="00227074">
              <w:t xml:space="preserve"> </w:t>
            </w:r>
            <w:r w:rsidR="00131B72">
              <w:rPr>
                <w:lang w:val="en-AU"/>
              </w:rPr>
              <w:t xml:space="preserve">are </w:t>
            </w:r>
            <w:r w:rsidRPr="00227074">
              <w:t>underway with HSV support to</w:t>
            </w:r>
            <w:r w:rsidR="00BA5AB0" w:rsidRPr="00227074">
              <w:t>:</w:t>
            </w:r>
          </w:p>
          <w:p w14:paraId="60FF70CB" w14:textId="030F5F42" w:rsidR="00BA5AB0"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EE5089">
              <w:t>validate if accurate data on nitrous oxide quantities can be obtained from supplier reporting and uploaded in bulk</w:t>
            </w:r>
          </w:p>
          <w:p w14:paraId="7C28E713" w14:textId="36EEF47A" w:rsidR="00853F27" w:rsidRPr="008037D1" w:rsidRDefault="00800C1D"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Pr>
                <w:lang w:val="en-AU"/>
              </w:rPr>
              <w:t>get and upload</w:t>
            </w:r>
            <w:r w:rsidR="00853F27" w:rsidRPr="008037D1">
              <w:rPr>
                <w:rFonts w:eastAsia="Times New Roman"/>
              </w:rPr>
              <w:t xml:space="preserve"> </w:t>
            </w:r>
            <w:r w:rsidR="00985B31">
              <w:rPr>
                <w:lang w:val="en-AU"/>
              </w:rPr>
              <w:t xml:space="preserve">into EDMS </w:t>
            </w:r>
            <w:r w:rsidR="00853F27" w:rsidRPr="008037D1">
              <w:rPr>
                <w:rFonts w:eastAsia="Times New Roman"/>
              </w:rPr>
              <w:t xml:space="preserve">bulk data from </w:t>
            </w:r>
            <w:r w:rsidR="00EE5089" w:rsidRPr="008037D1">
              <w:rPr>
                <w:rFonts w:eastAsia="Times New Roman"/>
              </w:rPr>
              <w:t xml:space="preserve">pharmacy management systems </w:t>
            </w:r>
            <w:r w:rsidR="00853F27" w:rsidRPr="008037D1">
              <w:rPr>
                <w:rFonts w:eastAsia="Times New Roman"/>
              </w:rPr>
              <w:t>about desflurane, isoflurane and sevoflurane purchases</w:t>
            </w:r>
          </w:p>
        </w:tc>
        <w:tc>
          <w:tcPr>
            <w:tcW w:w="3827" w:type="dxa"/>
          </w:tcPr>
          <w:p w14:paraId="4835BB6A" w14:textId="00CF4E2A"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Optional</w:t>
            </w:r>
            <w:r w:rsidRPr="008037D1">
              <w:rPr>
                <w:rFonts w:eastAsia="Times New Roman"/>
              </w:rPr>
              <w:t xml:space="preserve">: use own purchasing data to calculate kgs of nitrous oxide and manually </w:t>
            </w:r>
            <w:r w:rsidR="00800C1D">
              <w:rPr>
                <w:lang w:val="en-AU"/>
              </w:rPr>
              <w:t xml:space="preserve">add </w:t>
            </w:r>
            <w:r w:rsidRPr="008037D1">
              <w:rPr>
                <w:rFonts w:eastAsia="Times New Roman"/>
              </w:rPr>
              <w:t>to EDMS</w:t>
            </w:r>
          </w:p>
          <w:p w14:paraId="5063A08E" w14:textId="55F67F75"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Optional</w:t>
            </w:r>
            <w:r w:rsidRPr="008037D1">
              <w:rPr>
                <w:rFonts w:eastAsia="Times New Roman"/>
              </w:rPr>
              <w:t xml:space="preserve">: use own pharmacy data to calculate kgs of desflurane, sevoflurane, isoflurane and manually </w:t>
            </w:r>
            <w:r w:rsidR="00800C1D">
              <w:rPr>
                <w:lang w:val="en-AU"/>
              </w:rPr>
              <w:t xml:space="preserve">add </w:t>
            </w:r>
            <w:r w:rsidRPr="008037D1">
              <w:rPr>
                <w:rFonts w:eastAsia="Times New Roman"/>
              </w:rPr>
              <w:t>to EDMS</w:t>
            </w:r>
          </w:p>
          <w:p w14:paraId="191359A1" w14:textId="676C31C3"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rPr>
              <w:t>Optional</w:t>
            </w:r>
            <w:r w:rsidRPr="008037D1">
              <w:rPr>
                <w:rFonts w:eastAsia="Times New Roman"/>
              </w:rPr>
              <w:t>: use local records to calculate kg</w:t>
            </w:r>
            <w:r w:rsidR="00800C1D">
              <w:rPr>
                <w:lang w:val="en-AU"/>
              </w:rPr>
              <w:t>s</w:t>
            </w:r>
            <w:r w:rsidRPr="008037D1">
              <w:rPr>
                <w:rFonts w:eastAsia="Times New Roman"/>
              </w:rPr>
              <w:t xml:space="preserve"> of refrigerants and manually </w:t>
            </w:r>
            <w:r w:rsidR="00800C1D">
              <w:rPr>
                <w:lang w:val="en-AU"/>
              </w:rPr>
              <w:t xml:space="preserve">add </w:t>
            </w:r>
            <w:r w:rsidRPr="008037D1">
              <w:rPr>
                <w:rFonts w:eastAsia="Times New Roman"/>
              </w:rPr>
              <w:t>to EDMS</w:t>
            </w:r>
          </w:p>
          <w:p w14:paraId="16623A80" w14:textId="5E6071B4" w:rsidR="00853F27" w:rsidRPr="008037D1" w:rsidRDefault="00BA5AB0" w:rsidP="008037D1">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More </w:t>
            </w:r>
            <w:r w:rsidR="00853F27" w:rsidRPr="008037D1">
              <w:rPr>
                <w:rFonts w:eastAsia="Times New Roman"/>
              </w:rPr>
              <w:t>detail is in</w:t>
            </w:r>
            <w:r w:rsidRPr="008037D1">
              <w:rPr>
                <w:rFonts w:eastAsia="Times New Roman"/>
              </w:rPr>
              <w:t xml:space="preserve"> </w:t>
            </w:r>
            <w:r w:rsidRPr="008037D1">
              <w:rPr>
                <w:b/>
              </w:rPr>
              <w:fldChar w:fldCharType="begin"/>
            </w:r>
            <w:r w:rsidRPr="008037D1">
              <w:rPr>
                <w:rFonts w:eastAsia="Times New Roman"/>
                <w:b/>
              </w:rPr>
              <w:instrText xml:space="preserve"> REF _Ref137568733 \h  \* MERGEFORMAT </w:instrText>
            </w:r>
            <w:r w:rsidRPr="008037D1">
              <w:rPr>
                <w:b/>
              </w:rPr>
            </w:r>
            <w:r w:rsidRPr="008037D1">
              <w:rPr>
                <w:b/>
              </w:rPr>
              <w:fldChar w:fldCharType="separate"/>
            </w:r>
            <w:r w:rsidR="00C52465" w:rsidRPr="008037D1">
              <w:rPr>
                <w:rFonts w:eastAsia="Times New Roman"/>
                <w:b/>
              </w:rPr>
              <w:t>Appendix E: Medical gases and refrigerants</w:t>
            </w:r>
            <w:r w:rsidRPr="008037D1">
              <w:rPr>
                <w:b/>
              </w:rPr>
              <w:fldChar w:fldCharType="end"/>
            </w:r>
          </w:p>
        </w:tc>
      </w:tr>
      <w:tr w:rsidR="000C2A8D" w:rsidRPr="00EE5089" w14:paraId="68AC6DC7"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0CADC3A" w14:textId="77777777" w:rsidR="00853F27" w:rsidRPr="008037D1" w:rsidRDefault="00853F27" w:rsidP="008037D1">
            <w:pPr>
              <w:pStyle w:val="Tabletext"/>
              <w:rPr>
                <w:lang w:val="en-AU"/>
              </w:rPr>
            </w:pPr>
            <w:r w:rsidRPr="008037D1">
              <w:rPr>
                <w:rFonts w:eastAsia="Times New Roman"/>
              </w:rPr>
              <w:t>Water</w:t>
            </w:r>
          </w:p>
        </w:tc>
        <w:tc>
          <w:tcPr>
            <w:tcW w:w="4253" w:type="dxa"/>
          </w:tcPr>
          <w:p w14:paraId="516F4FDF" w14:textId="34F6E5C6" w:rsidR="00853F27" w:rsidRPr="008037D1" w:rsidRDefault="00853F2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Data from </w:t>
            </w:r>
            <w:r w:rsidR="0057638B" w:rsidRPr="008037D1">
              <w:rPr>
                <w:rFonts w:eastAsia="Times New Roman"/>
              </w:rPr>
              <w:t xml:space="preserve">Victorian </w:t>
            </w:r>
            <w:r w:rsidR="00800C1D" w:rsidRPr="00800C1D">
              <w:rPr>
                <w:lang w:val="en-AU"/>
              </w:rPr>
              <w:t>water authorities</w:t>
            </w:r>
            <w:r w:rsidR="00800C1D">
              <w:rPr>
                <w:lang w:val="en-AU"/>
              </w:rPr>
              <w:t>:</w:t>
            </w:r>
            <w:r w:rsidRPr="008037D1">
              <w:rPr>
                <w:rFonts w:eastAsia="Times New Roman"/>
              </w:rPr>
              <w:t xml:space="preserve"> all water comes through the EDMS</w:t>
            </w:r>
          </w:p>
        </w:tc>
        <w:tc>
          <w:tcPr>
            <w:tcW w:w="3827" w:type="dxa"/>
          </w:tcPr>
          <w:p w14:paraId="3657FDB2" w14:textId="58051049" w:rsidR="001224F3" w:rsidRPr="008037D1" w:rsidRDefault="00853F2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Locally arranged Class A recycled water</w:t>
            </w:r>
            <w:r w:rsidR="001224F3" w:rsidRPr="008037D1">
              <w:rPr>
                <w:rFonts w:eastAsia="Times New Roman"/>
              </w:rPr>
              <w:t>.</w:t>
            </w:r>
          </w:p>
        </w:tc>
      </w:tr>
      <w:tr w:rsidR="000C2A8D" w:rsidRPr="00EE5089" w14:paraId="2624E487"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9FC5C83" w14:textId="77777777" w:rsidR="00853F27" w:rsidRPr="008037D1" w:rsidRDefault="00853F27" w:rsidP="008037D1">
            <w:pPr>
              <w:pStyle w:val="Tabletext"/>
              <w:rPr>
                <w:lang w:val="en-AU"/>
              </w:rPr>
            </w:pPr>
            <w:r w:rsidRPr="008037D1">
              <w:rPr>
                <w:rFonts w:eastAsia="Times New Roman"/>
              </w:rPr>
              <w:t>Transport</w:t>
            </w:r>
          </w:p>
        </w:tc>
        <w:tc>
          <w:tcPr>
            <w:tcW w:w="4253" w:type="dxa"/>
          </w:tcPr>
          <w:p w14:paraId="2175D2AD" w14:textId="7ED9BF88"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Data on corporate fleet energy usage is uploaded for government entities that use the statewide </w:t>
            </w:r>
            <w:proofErr w:type="spellStart"/>
            <w:r w:rsidRPr="008037D1">
              <w:rPr>
                <w:rFonts w:eastAsia="Times New Roman"/>
              </w:rPr>
              <w:t>VicFleet</w:t>
            </w:r>
            <w:proofErr w:type="spellEnd"/>
            <w:r w:rsidRPr="008037D1">
              <w:rPr>
                <w:rFonts w:eastAsia="Times New Roman"/>
              </w:rPr>
              <w:t xml:space="preserve"> contract</w:t>
            </w:r>
          </w:p>
        </w:tc>
        <w:tc>
          <w:tcPr>
            <w:tcW w:w="3827" w:type="dxa"/>
          </w:tcPr>
          <w:p w14:paraId="360EC9C1" w14:textId="0295C61C" w:rsidR="00853F27" w:rsidRPr="008037D1" w:rsidRDefault="00853F2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Transport services and vehicles </w:t>
            </w:r>
            <w:r w:rsidR="00800C1D">
              <w:rPr>
                <w:lang w:val="en-AU"/>
              </w:rPr>
              <w:t>purchased</w:t>
            </w:r>
            <w:r w:rsidR="00800C1D" w:rsidRPr="008037D1">
              <w:rPr>
                <w:rFonts w:eastAsia="Times New Roman"/>
              </w:rPr>
              <w:t xml:space="preserve"> </w:t>
            </w:r>
            <w:r w:rsidRPr="008037D1">
              <w:rPr>
                <w:rFonts w:eastAsia="Times New Roman"/>
              </w:rPr>
              <w:t xml:space="preserve">outside of </w:t>
            </w:r>
            <w:proofErr w:type="spellStart"/>
            <w:r w:rsidRPr="008037D1">
              <w:rPr>
                <w:rFonts w:eastAsia="Times New Roman"/>
              </w:rPr>
              <w:t>VicFleet</w:t>
            </w:r>
            <w:proofErr w:type="spellEnd"/>
            <w:r w:rsidR="00FC6D4D" w:rsidRPr="008037D1">
              <w:rPr>
                <w:rFonts w:eastAsia="Times New Roman"/>
              </w:rPr>
              <w:t>.</w:t>
            </w:r>
          </w:p>
          <w:p w14:paraId="401FFC75" w14:textId="32DD5BA9" w:rsidR="00F8061C" w:rsidRPr="008037D1" w:rsidRDefault="000007C4"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Fleet data for</w:t>
            </w:r>
            <w:r w:rsidR="005D2CF8" w:rsidRPr="008037D1">
              <w:rPr>
                <w:rFonts w:eastAsia="Times New Roman"/>
              </w:rPr>
              <w:t xml:space="preserve"> road and air ambulance </w:t>
            </w:r>
            <w:r w:rsidR="00E2345B" w:rsidRPr="008037D1">
              <w:rPr>
                <w:rFonts w:eastAsia="Times New Roman"/>
              </w:rPr>
              <w:t>and other emergency transport (Ambulance Victoria only).</w:t>
            </w:r>
          </w:p>
        </w:tc>
      </w:tr>
    </w:tbl>
    <w:p w14:paraId="705FE894" w14:textId="46DDE3D5" w:rsidR="00853F27" w:rsidRPr="00853F27" w:rsidRDefault="00853F27" w:rsidP="008037D1">
      <w:pPr>
        <w:pStyle w:val="Heading2"/>
        <w:numPr>
          <w:ilvl w:val="1"/>
          <w:numId w:val="91"/>
        </w:numPr>
        <w:rPr>
          <w:rFonts w:eastAsia="Times"/>
        </w:rPr>
      </w:pPr>
      <w:bookmarkStart w:id="44" w:name="_Ref137650100"/>
      <w:bookmarkStart w:id="45" w:name="_Toc138239117"/>
      <w:r w:rsidRPr="00853F27">
        <w:rPr>
          <w:rFonts w:eastAsia="Times"/>
        </w:rPr>
        <w:t>Data assurance</w:t>
      </w:r>
      <w:bookmarkEnd w:id="44"/>
      <w:bookmarkEnd w:id="45"/>
      <w:r w:rsidRPr="00853F27">
        <w:rPr>
          <w:rFonts w:eastAsia="Times"/>
        </w:rPr>
        <w:t xml:space="preserve"> </w:t>
      </w:r>
    </w:p>
    <w:p w14:paraId="57A13FCF" w14:textId="42C9E0E1" w:rsidR="00CC64C8" w:rsidRDefault="00853F27" w:rsidP="00853F27">
      <w:pPr>
        <w:pStyle w:val="Body"/>
      </w:pPr>
      <w:r w:rsidRPr="00853F27">
        <w:t xml:space="preserve">The EDMS collates data from contracted utility companies to validate directly uploaded performance data. </w:t>
      </w:r>
      <w:r w:rsidR="00CC64C8">
        <w:t>The EDMS marks this as ‘pending data’</w:t>
      </w:r>
      <w:r w:rsidR="00CC64C8" w:rsidDel="00CC64C8">
        <w:t xml:space="preserve"> </w:t>
      </w:r>
      <w:r w:rsidR="00CC64C8">
        <w:t>if:</w:t>
      </w:r>
    </w:p>
    <w:p w14:paraId="4893B04A" w14:textId="17BC3844" w:rsidR="00CC64C8" w:rsidRDefault="00CC64C8" w:rsidP="00CC64C8">
      <w:pPr>
        <w:pStyle w:val="Bullet1"/>
      </w:pPr>
      <w:r>
        <w:t xml:space="preserve">the uploaded </w:t>
      </w:r>
      <w:r w:rsidR="00FD10D0">
        <w:t>data differs</w:t>
      </w:r>
      <w:r w:rsidR="009E4D4A">
        <w:t xml:space="preserve"> </w:t>
      </w:r>
      <w:r w:rsidR="00E91DBD">
        <w:t xml:space="preserve">materially </w:t>
      </w:r>
      <w:r w:rsidR="009E4D4A">
        <w:t>from</w:t>
      </w:r>
      <w:r w:rsidR="006F6C26">
        <w:t xml:space="preserve"> data</w:t>
      </w:r>
      <w:r w:rsidR="00641107">
        <w:t xml:space="preserve"> already in </w:t>
      </w:r>
      <w:r>
        <w:t>the EDMS</w:t>
      </w:r>
    </w:p>
    <w:p w14:paraId="29120873" w14:textId="67E82CCF" w:rsidR="00CC64C8" w:rsidRDefault="00641107" w:rsidP="00CC64C8">
      <w:pPr>
        <w:pStyle w:val="Bullet1"/>
      </w:pPr>
      <w:r>
        <w:t xml:space="preserve">the data is </w:t>
      </w:r>
      <w:r w:rsidR="004F1786">
        <w:t>exact</w:t>
      </w:r>
      <w:r w:rsidR="00CC64C8">
        <w:t>ly the same as data already in the EDMS</w:t>
      </w:r>
      <w:r w:rsidR="00041558">
        <w:t>.</w:t>
      </w:r>
    </w:p>
    <w:p w14:paraId="2A6A784B" w14:textId="1782D7EE" w:rsidR="00853F27" w:rsidRPr="00853F27" w:rsidRDefault="00CC64C8" w:rsidP="008037D1">
      <w:pPr>
        <w:pStyle w:val="Bodyafterbullets"/>
      </w:pPr>
      <w:r>
        <w:t xml:space="preserve">The organisation must </w:t>
      </w:r>
      <w:r w:rsidR="00347DF4">
        <w:t>review</w:t>
      </w:r>
      <w:r>
        <w:t xml:space="preserve"> </w:t>
      </w:r>
      <w:r w:rsidR="00347DF4">
        <w:t xml:space="preserve">and </w:t>
      </w:r>
      <w:r>
        <w:t xml:space="preserve">either </w:t>
      </w:r>
      <w:r w:rsidR="00347DF4">
        <w:t xml:space="preserve">accept or reject </w:t>
      </w:r>
      <w:r w:rsidR="00C86E46">
        <w:t xml:space="preserve">the </w:t>
      </w:r>
      <w:r>
        <w:t xml:space="preserve">pending data before it can be </w:t>
      </w:r>
      <w:r w:rsidR="00C86E46">
        <w:t>formally</w:t>
      </w:r>
      <w:r w:rsidR="00616E1A">
        <w:t xml:space="preserve"> </w:t>
      </w:r>
      <w:r w:rsidR="0090194F">
        <w:t xml:space="preserve">entered into the </w:t>
      </w:r>
      <w:r w:rsidR="005C3817">
        <w:t>EDMS</w:t>
      </w:r>
      <w:r w:rsidR="0090194F">
        <w:t>.</w:t>
      </w:r>
    </w:p>
    <w:p w14:paraId="519598E8" w14:textId="24285CC8" w:rsidR="00853F27" w:rsidRDefault="00853F27" w:rsidP="00853F27">
      <w:pPr>
        <w:pStyle w:val="Body"/>
      </w:pPr>
      <w:r w:rsidRPr="00853F27">
        <w:t xml:space="preserve">External assurance and verification of reported data provides additional rigour but is not mandatory. To ensure appropriate assurance of data quality and publicly reported information, EDMS users </w:t>
      </w:r>
      <w:r w:rsidR="00CC64C8">
        <w:t xml:space="preserve">should </w:t>
      </w:r>
      <w:r w:rsidRPr="00853F27">
        <w:t>check the system’s data against billing data to confirm data accuracy.</w:t>
      </w:r>
    </w:p>
    <w:p w14:paraId="578CAF27" w14:textId="33EC5296" w:rsidR="005D1373" w:rsidRPr="00853F27" w:rsidRDefault="005D1373" w:rsidP="00853F27">
      <w:pPr>
        <w:pStyle w:val="Body"/>
      </w:pPr>
      <w:r>
        <w:t>The department</w:t>
      </w:r>
      <w:r w:rsidR="006C6E2F">
        <w:t xml:space="preserve"> does some</w:t>
      </w:r>
      <w:r w:rsidR="006374F5">
        <w:t xml:space="preserve"> end</w:t>
      </w:r>
      <w:r w:rsidR="00CC64C8">
        <w:t>-</w:t>
      </w:r>
      <w:r w:rsidR="006374F5">
        <w:t>of</w:t>
      </w:r>
      <w:r w:rsidR="00CC64C8">
        <w:t>-</w:t>
      </w:r>
      <w:r w:rsidR="006374F5">
        <w:t xml:space="preserve">year </w:t>
      </w:r>
      <w:r w:rsidR="00FA1CAC">
        <w:t xml:space="preserve">data </w:t>
      </w:r>
      <w:r w:rsidR="006374F5">
        <w:t>checks</w:t>
      </w:r>
      <w:r w:rsidR="00B842E9">
        <w:t xml:space="preserve"> </w:t>
      </w:r>
      <w:r w:rsidR="006724AE">
        <w:t>to c</w:t>
      </w:r>
      <w:r w:rsidR="008B0049">
        <w:t>onfirm whether data is accurate. However, this</w:t>
      </w:r>
      <w:r w:rsidR="007A2EA0">
        <w:t xml:space="preserve"> is generally </w:t>
      </w:r>
      <w:r w:rsidR="00ED4524">
        <w:t>restricted to where</w:t>
      </w:r>
      <w:r w:rsidR="00CC75DA">
        <w:t xml:space="preserve"> there are significant data variations, such as</w:t>
      </w:r>
      <w:r w:rsidR="0009565D">
        <w:t xml:space="preserve"> incorrect manual</w:t>
      </w:r>
      <w:r w:rsidR="007D127F">
        <w:t xml:space="preserve"> </w:t>
      </w:r>
      <w:r w:rsidR="00CC64C8">
        <w:t xml:space="preserve">data </w:t>
      </w:r>
      <w:r w:rsidR="007D127F">
        <w:t xml:space="preserve">entry </w:t>
      </w:r>
      <w:r w:rsidR="00CC64C8">
        <w:t xml:space="preserve">(like </w:t>
      </w:r>
      <w:r w:rsidR="007D127F">
        <w:t xml:space="preserve">entering </w:t>
      </w:r>
      <w:r w:rsidR="00016B83">
        <w:t xml:space="preserve">LPG </w:t>
      </w:r>
      <w:r w:rsidR="002D7F1C">
        <w:t>usage in</w:t>
      </w:r>
      <w:r w:rsidR="00016B83">
        <w:t xml:space="preserve"> litres rather than kilolitres</w:t>
      </w:r>
      <w:r w:rsidR="00CC64C8">
        <w:t>)</w:t>
      </w:r>
      <w:r w:rsidR="007D127F">
        <w:t>.</w:t>
      </w:r>
    </w:p>
    <w:p w14:paraId="7317D6F1" w14:textId="0C291618" w:rsidR="00853F27" w:rsidRPr="00853F27" w:rsidRDefault="00853F27" w:rsidP="008037D1">
      <w:pPr>
        <w:pStyle w:val="Heading2"/>
        <w:numPr>
          <w:ilvl w:val="1"/>
          <w:numId w:val="91"/>
        </w:numPr>
        <w:rPr>
          <w:rFonts w:eastAsia="Times"/>
        </w:rPr>
      </w:pPr>
      <w:bookmarkStart w:id="46" w:name="_Toc138239118"/>
      <w:r w:rsidRPr="00853F27">
        <w:rPr>
          <w:rFonts w:eastAsia="Times"/>
        </w:rPr>
        <w:t>Data management tips</w:t>
      </w:r>
      <w:bookmarkEnd w:id="46"/>
    </w:p>
    <w:p w14:paraId="6337876B" w14:textId="77777777" w:rsidR="00521386" w:rsidRDefault="00853F27" w:rsidP="00853F27">
      <w:pPr>
        <w:pStyle w:val="Body"/>
      </w:pPr>
      <w:r w:rsidRPr="00853F27">
        <w:t>Sourcing data is only one part of environmental reporting. Health services are responsible for reviewing their data to ensure it is accurate, complete and that their asset hierarchy is up to date.</w:t>
      </w:r>
    </w:p>
    <w:p w14:paraId="65C81B15" w14:textId="252A3721" w:rsidR="00853F27" w:rsidRPr="00853F27" w:rsidRDefault="00CC64C8" w:rsidP="00853F27">
      <w:pPr>
        <w:pStyle w:val="Body"/>
      </w:pPr>
      <w:r>
        <w:t>P</w:t>
      </w:r>
      <w:r w:rsidR="00853F27" w:rsidRPr="00853F27">
        <w:t>lanning is essential for data collection and reporting.</w:t>
      </w:r>
      <w:r w:rsidR="00521386">
        <w:t xml:space="preserve"> </w:t>
      </w:r>
      <w:r>
        <w:t>The following</w:t>
      </w:r>
      <w:r w:rsidRPr="00853F27">
        <w:t xml:space="preserve"> </w:t>
      </w:r>
      <w:r w:rsidR="00853F27" w:rsidRPr="00853F27">
        <w:t>are some tips for what you should do every month, quarter and annual year</w:t>
      </w:r>
      <w:r w:rsidR="0008141F">
        <w:t>.</w:t>
      </w:r>
    </w:p>
    <w:p w14:paraId="48C3F462" w14:textId="072565BC" w:rsidR="00853F27" w:rsidRPr="00853F27" w:rsidRDefault="0008141F" w:rsidP="008037D1">
      <w:pPr>
        <w:pStyle w:val="Body"/>
      </w:pPr>
      <w:r w:rsidRPr="008037D1">
        <w:rPr>
          <w:b/>
          <w:bCs/>
        </w:rPr>
        <w:t>M</w:t>
      </w:r>
      <w:r w:rsidR="00853F27" w:rsidRPr="008037D1">
        <w:rPr>
          <w:b/>
          <w:bCs/>
        </w:rPr>
        <w:t>onthly</w:t>
      </w:r>
      <w:r w:rsidR="00853F27" w:rsidRPr="00853F27">
        <w:t>:</w:t>
      </w:r>
    </w:p>
    <w:p w14:paraId="208321D4" w14:textId="1D07F9BA" w:rsidR="00853F27" w:rsidRPr="00853F27" w:rsidRDefault="00521386" w:rsidP="008037D1">
      <w:pPr>
        <w:pStyle w:val="Bullet1"/>
      </w:pPr>
      <w:r>
        <w:t>M</w:t>
      </w:r>
      <w:r w:rsidR="00853F27" w:rsidRPr="00853F27">
        <w:t>anage pending data</w:t>
      </w:r>
      <w:r>
        <w:t xml:space="preserve"> (see </w:t>
      </w:r>
      <w:r w:rsidRPr="008037D1">
        <w:rPr>
          <w:b/>
          <w:bCs/>
          <w:u w:val="single"/>
        </w:rPr>
        <w:fldChar w:fldCharType="begin"/>
      </w:r>
      <w:r w:rsidRPr="008037D1">
        <w:rPr>
          <w:b/>
          <w:bCs/>
          <w:u w:val="single"/>
        </w:rPr>
        <w:instrText xml:space="preserve"> REF _Ref137650100 \h  \* MERGEFORMAT </w:instrText>
      </w:r>
      <w:r w:rsidRPr="008037D1">
        <w:rPr>
          <w:b/>
          <w:bCs/>
          <w:u w:val="single"/>
        </w:rPr>
      </w:r>
      <w:r w:rsidRPr="008037D1">
        <w:rPr>
          <w:b/>
          <w:bCs/>
          <w:u w:val="single"/>
        </w:rPr>
        <w:fldChar w:fldCharType="separate"/>
      </w:r>
      <w:r w:rsidR="00C52465" w:rsidRPr="008037D1">
        <w:rPr>
          <w:b/>
          <w:bCs/>
          <w:u w:val="single"/>
        </w:rPr>
        <w:t>Data assurance</w:t>
      </w:r>
      <w:r w:rsidRPr="008037D1">
        <w:rPr>
          <w:b/>
          <w:bCs/>
          <w:u w:val="single"/>
        </w:rPr>
        <w:fldChar w:fldCharType="end"/>
      </w:r>
      <w:r>
        <w:t>).</w:t>
      </w:r>
    </w:p>
    <w:p w14:paraId="61B58DC4" w14:textId="56040DF7" w:rsidR="00853F27" w:rsidRPr="00853F27" w:rsidRDefault="00521386" w:rsidP="008037D1">
      <w:pPr>
        <w:pStyle w:val="Bullet1"/>
      </w:pPr>
      <w:r>
        <w:t>A</w:t>
      </w:r>
      <w:r w:rsidRPr="00853F27">
        <w:t xml:space="preserve">dd </w:t>
      </w:r>
      <w:r w:rsidR="00853F27" w:rsidRPr="00853F27">
        <w:t>monthly manual data</w:t>
      </w:r>
      <w:r>
        <w:t>.</w:t>
      </w:r>
    </w:p>
    <w:p w14:paraId="0D0C8A8C" w14:textId="5D7030C9" w:rsidR="00853F27" w:rsidRPr="00853F27" w:rsidRDefault="0008141F" w:rsidP="008037D1">
      <w:pPr>
        <w:pStyle w:val="Bodyafterbullets"/>
      </w:pPr>
      <w:r w:rsidRPr="008037D1">
        <w:rPr>
          <w:b/>
          <w:bCs/>
        </w:rPr>
        <w:t>Q</w:t>
      </w:r>
      <w:r w:rsidR="00853F27" w:rsidRPr="008037D1">
        <w:rPr>
          <w:b/>
          <w:bCs/>
        </w:rPr>
        <w:t>uarterly</w:t>
      </w:r>
      <w:r w:rsidR="00853F27" w:rsidRPr="00853F27">
        <w:t>:</w:t>
      </w:r>
    </w:p>
    <w:p w14:paraId="352BD761" w14:textId="5C1E05DA" w:rsidR="00853F27" w:rsidRPr="00941E17" w:rsidRDefault="00521386" w:rsidP="008037D1">
      <w:pPr>
        <w:pStyle w:val="Bullet1"/>
      </w:pPr>
      <w:r w:rsidRPr="00941E17">
        <w:t>Id</w:t>
      </w:r>
      <w:r w:rsidR="00853F27" w:rsidRPr="00941E17">
        <w:t>entify data gaps and find missing data</w:t>
      </w:r>
      <w:r>
        <w:t>.</w:t>
      </w:r>
    </w:p>
    <w:p w14:paraId="6DF278C1" w14:textId="17D9CC48" w:rsidR="00853F27" w:rsidRPr="00941E17" w:rsidRDefault="00521386" w:rsidP="008037D1">
      <w:pPr>
        <w:pStyle w:val="Bullet1"/>
      </w:pPr>
      <w:r w:rsidRPr="00941E17">
        <w:t>M</w:t>
      </w:r>
      <w:r w:rsidR="00853F27" w:rsidRPr="00941E17">
        <w:t>anage asset hierarchy (new assets, accounts and suppliers)</w:t>
      </w:r>
      <w:r>
        <w:t>.</w:t>
      </w:r>
    </w:p>
    <w:p w14:paraId="0A0F8020" w14:textId="1D9E67A9" w:rsidR="00853F27" w:rsidRPr="00941E17" w:rsidRDefault="00521386" w:rsidP="008037D1">
      <w:pPr>
        <w:pStyle w:val="Bullet1"/>
      </w:pPr>
      <w:r>
        <w:t>Run</w:t>
      </w:r>
      <w:r w:rsidRPr="00941E17">
        <w:t xml:space="preserve"> </w:t>
      </w:r>
      <w:r w:rsidR="00853F27" w:rsidRPr="00941E17">
        <w:t>the data variance report</w:t>
      </w:r>
      <w:r>
        <w:t>.</w:t>
      </w:r>
    </w:p>
    <w:p w14:paraId="0FB2F06B" w14:textId="307D2AE1" w:rsidR="00853F27" w:rsidRPr="00941E17" w:rsidRDefault="00521386" w:rsidP="008037D1">
      <w:pPr>
        <w:pStyle w:val="Bullet1"/>
      </w:pPr>
      <w:r w:rsidRPr="00941E17">
        <w:t>A</w:t>
      </w:r>
      <w:r w:rsidR="00853F27" w:rsidRPr="00941E17">
        <w:t>dd quarterly manual data</w:t>
      </w:r>
      <w:r>
        <w:t>.</w:t>
      </w:r>
    </w:p>
    <w:p w14:paraId="5EBDF377" w14:textId="7DB581A3" w:rsidR="00853F27" w:rsidRPr="00853F27" w:rsidRDefault="0008141F" w:rsidP="008037D1">
      <w:pPr>
        <w:pStyle w:val="Bodyafterbullets"/>
      </w:pPr>
      <w:r w:rsidRPr="008037D1">
        <w:rPr>
          <w:b/>
          <w:bCs/>
        </w:rPr>
        <w:t>A</w:t>
      </w:r>
      <w:r w:rsidR="00853F27" w:rsidRPr="008037D1">
        <w:rPr>
          <w:b/>
          <w:bCs/>
        </w:rPr>
        <w:t>nnually</w:t>
      </w:r>
      <w:r w:rsidR="00853F27" w:rsidRPr="00853F27">
        <w:t>:</w:t>
      </w:r>
    </w:p>
    <w:p w14:paraId="3831F7B8" w14:textId="1264DD9F" w:rsidR="00853F27" w:rsidRPr="00941E17" w:rsidRDefault="00521386" w:rsidP="008037D1">
      <w:pPr>
        <w:pStyle w:val="Bullet1"/>
      </w:pPr>
      <w:r w:rsidRPr="00941E17">
        <w:t>A</w:t>
      </w:r>
      <w:r w:rsidR="00853F27" w:rsidRPr="00941E17">
        <w:t>dd annual data (</w:t>
      </w:r>
      <w:r>
        <w:t>such as</w:t>
      </w:r>
      <w:r w:rsidR="00853F27" w:rsidRPr="00941E17">
        <w:t xml:space="preserve"> k</w:t>
      </w:r>
      <w:r>
        <w:t>ilometres</w:t>
      </w:r>
      <w:r w:rsidR="00853F27" w:rsidRPr="00941E17">
        <w:t xml:space="preserve"> driven, fuel use, medical gases)</w:t>
      </w:r>
      <w:r>
        <w:t>.</w:t>
      </w:r>
    </w:p>
    <w:p w14:paraId="6FF91F5D" w14:textId="07440AD5" w:rsidR="00853F27" w:rsidRPr="00941E17" w:rsidRDefault="00521386" w:rsidP="008037D1">
      <w:pPr>
        <w:pStyle w:val="Bullet1"/>
      </w:pPr>
      <w:r w:rsidRPr="00941E17">
        <w:t>I</w:t>
      </w:r>
      <w:r w:rsidR="00853F27" w:rsidRPr="00941E17">
        <w:t>dentify data gaps and find missing data</w:t>
      </w:r>
      <w:r>
        <w:t>.</w:t>
      </w:r>
    </w:p>
    <w:p w14:paraId="4335249A" w14:textId="4296E751" w:rsidR="00853F27" w:rsidRPr="00941E17" w:rsidRDefault="00521386" w:rsidP="008037D1">
      <w:pPr>
        <w:pStyle w:val="Bullet1"/>
      </w:pPr>
      <w:r w:rsidRPr="00941E17">
        <w:t>E</w:t>
      </w:r>
      <w:r w:rsidR="00853F27" w:rsidRPr="00941E17">
        <w:t>stimate usage for any missing data</w:t>
      </w:r>
      <w:r>
        <w:t>.</w:t>
      </w:r>
    </w:p>
    <w:p w14:paraId="68C9FE7C" w14:textId="3A2243BD" w:rsidR="00853F27" w:rsidRPr="00941E17" w:rsidRDefault="00521386" w:rsidP="008037D1">
      <w:pPr>
        <w:pStyle w:val="Bullet1"/>
      </w:pPr>
      <w:r w:rsidRPr="00941E17">
        <w:t>R</w:t>
      </w:r>
      <w:r w:rsidR="00853F27" w:rsidRPr="00941E17">
        <w:t>un the public environment report</w:t>
      </w:r>
      <w:r>
        <w:t>.</w:t>
      </w:r>
    </w:p>
    <w:p w14:paraId="38EFC698" w14:textId="416CD2C7" w:rsidR="00941E17" w:rsidRPr="00941E17" w:rsidRDefault="00521386" w:rsidP="008037D1">
      <w:pPr>
        <w:pStyle w:val="Bullet1"/>
      </w:pPr>
      <w:r w:rsidRPr="00941E17">
        <w:t>C</w:t>
      </w:r>
      <w:r w:rsidR="00853F27" w:rsidRPr="00941E17">
        <w:t>ompare trends and follow up any unusual trends</w:t>
      </w:r>
      <w:r w:rsidR="001D7BDF">
        <w:t>.</w:t>
      </w:r>
      <w:r w:rsidR="00941E17">
        <w:br w:type="page"/>
      </w:r>
    </w:p>
    <w:p w14:paraId="5DDA7FE4" w14:textId="31357C18" w:rsidR="009A5165" w:rsidRDefault="00492204" w:rsidP="008037D1">
      <w:pPr>
        <w:pStyle w:val="Heading1"/>
        <w:numPr>
          <w:ilvl w:val="0"/>
          <w:numId w:val="91"/>
        </w:numPr>
      </w:pPr>
      <w:bookmarkStart w:id="47" w:name="_Toc138239119"/>
      <w:r>
        <w:t>Detailed g</w:t>
      </w:r>
      <w:r w:rsidR="00684465">
        <w:t>uidance on indicators</w:t>
      </w:r>
      <w:bookmarkEnd w:id="47"/>
    </w:p>
    <w:p w14:paraId="1D19CFB9" w14:textId="280F85B3" w:rsidR="00492204" w:rsidRDefault="00492204" w:rsidP="00FF776E">
      <w:pPr>
        <w:pStyle w:val="Body"/>
      </w:pPr>
      <w:r>
        <w:t>This section provides guidance on the indicators relevant for</w:t>
      </w:r>
      <w:r w:rsidR="00CF0CA0">
        <w:t xml:space="preserve"> entities in</w:t>
      </w:r>
      <w:r>
        <w:t xml:space="preserve"> Tier</w:t>
      </w:r>
      <w:r w:rsidR="00CF0CA0">
        <w:t>s</w:t>
      </w:r>
      <w:r>
        <w:t xml:space="preserve"> 2, 3a and 4. The </w:t>
      </w:r>
      <w:r w:rsidRPr="00492204">
        <w:t>optional indicators under FRD 24</w:t>
      </w:r>
      <w:r>
        <w:t xml:space="preserve"> are not covered.</w:t>
      </w:r>
    </w:p>
    <w:p w14:paraId="2DE933E7" w14:textId="4991E35C" w:rsidR="00FF776E" w:rsidRDefault="00FF776E" w:rsidP="00FF776E">
      <w:pPr>
        <w:pStyle w:val="Body"/>
      </w:pPr>
      <w:r>
        <w:t>Tier 2 organisations need</w:t>
      </w:r>
      <w:r w:rsidR="00A47932">
        <w:t xml:space="preserve"> </w:t>
      </w:r>
      <w:r>
        <w:t xml:space="preserve">to report on two </w:t>
      </w:r>
      <w:r w:rsidR="00CF0CA0">
        <w:t xml:space="preserve">more </w:t>
      </w:r>
      <w:r>
        <w:t>indicators</w:t>
      </w:r>
      <w:r w:rsidR="00CF0CA0">
        <w:t xml:space="preserve"> than Tier 3a entities</w:t>
      </w:r>
      <w:r>
        <w:t>:</w:t>
      </w:r>
    </w:p>
    <w:p w14:paraId="6678F7DD" w14:textId="23769076" w:rsidR="00FF776E" w:rsidRPr="00941E17" w:rsidRDefault="00FF776E" w:rsidP="008037D1">
      <w:pPr>
        <w:pStyle w:val="Bullet1"/>
      </w:pPr>
      <w:r w:rsidRPr="008037D1">
        <w:rPr>
          <w:b/>
          <w:bCs/>
        </w:rPr>
        <w:t>B5</w:t>
      </w:r>
      <w:r>
        <w:t xml:space="preserve">: </w:t>
      </w:r>
      <w:r w:rsidR="00CF0CA0">
        <w:t>E</w:t>
      </w:r>
      <w:r w:rsidR="00CF0CA0" w:rsidRPr="00941E17">
        <w:t xml:space="preserve">nvironmental </w:t>
      </w:r>
      <w:r w:rsidRPr="00941E17">
        <w:t>performance ratings achieved for entity-owned assets portfolio</w:t>
      </w:r>
      <w:r w:rsidR="00CF0CA0">
        <w:t>,</w:t>
      </w:r>
      <w:r w:rsidRPr="00941E17">
        <w:t xml:space="preserve"> segmented by rating scheme and building, facility or infrastructure type</w:t>
      </w:r>
      <w:r w:rsidR="00CF0CA0">
        <w:t xml:space="preserve"> –</w:t>
      </w:r>
      <w:r w:rsidRPr="00941E17">
        <w:t xml:space="preserve"> where these ratings have been conducted</w:t>
      </w:r>
      <w:r w:rsidR="00CF0CA0">
        <w:t>.</w:t>
      </w:r>
    </w:p>
    <w:p w14:paraId="539C36D6" w14:textId="4E1D9C40" w:rsidR="00521F0A" w:rsidRDefault="00FF776E" w:rsidP="008037D1">
      <w:pPr>
        <w:pStyle w:val="Bullet1"/>
      </w:pPr>
      <w:r w:rsidRPr="008037D1">
        <w:rPr>
          <w:b/>
          <w:bCs/>
        </w:rPr>
        <w:t>WR2</w:t>
      </w:r>
      <w:r>
        <w:t xml:space="preserve">: </w:t>
      </w:r>
      <w:r w:rsidR="00CF0CA0">
        <w:t>D</w:t>
      </w:r>
      <w:r w:rsidR="00CF0CA0" w:rsidRPr="00574C84">
        <w:t xml:space="preserve">edicated </w:t>
      </w:r>
      <w:r w:rsidRPr="00574C84">
        <w:t>collection services provided in offices for printer cartridges, batteries and soft plastics</w:t>
      </w:r>
      <w:r>
        <w:t>.</w:t>
      </w:r>
    </w:p>
    <w:p w14:paraId="07F6B118" w14:textId="31AE934B" w:rsidR="00E30AE6" w:rsidRDefault="00CF0CA0" w:rsidP="008037D1">
      <w:pPr>
        <w:pStyle w:val="Bodyafterbullets"/>
        <w:rPr>
          <w:lang w:val="en-US"/>
        </w:rPr>
      </w:pPr>
      <w:r>
        <w:t xml:space="preserve">More </w:t>
      </w:r>
      <w:r w:rsidR="00C27CC6">
        <w:t xml:space="preserve">information on FRD 24 indicators is in </w:t>
      </w:r>
      <w:r w:rsidRPr="008037D1">
        <w:rPr>
          <w:i/>
          <w:iCs/>
        </w:rPr>
        <w:t>Guidance on environmental disclosures under FRD 24</w:t>
      </w:r>
      <w:r w:rsidRPr="008037D1">
        <w:rPr>
          <w:lang w:val="en-US"/>
        </w:rPr>
        <w:t>.</w:t>
      </w:r>
      <w:r>
        <w:rPr>
          <w:lang w:val="en-US"/>
        </w:rPr>
        <w:t xml:space="preserve"> This is available from </w:t>
      </w:r>
      <w:hyperlink r:id="rId20" w:history="1">
        <w:r>
          <w:rPr>
            <w:rStyle w:val="Hyperlink"/>
          </w:rPr>
          <w:t>DEECA's Government environmental reporting web page</w:t>
        </w:r>
      </w:hyperlink>
      <w:r w:rsidR="00C27CC6">
        <w:rPr>
          <w:lang w:val="en-US"/>
        </w:rPr>
        <w:t xml:space="preserve"> &lt;</w:t>
      </w:r>
      <w:r w:rsidR="00C27CC6" w:rsidRPr="00A130FF">
        <w:rPr>
          <w:lang w:val="en-US"/>
        </w:rPr>
        <w:t>https://www.climatechange.vic.gov.au/victorian-government-action-on-climate-change/government-environmental-reporting</w:t>
      </w:r>
      <w:r w:rsidR="00C27CC6">
        <w:rPr>
          <w:lang w:val="en-US"/>
        </w:rPr>
        <w:t>&gt;.</w:t>
      </w:r>
    </w:p>
    <w:p w14:paraId="779311D1" w14:textId="1A73B2E6" w:rsidR="00E30AE6" w:rsidRPr="00E30AE6" w:rsidRDefault="00E30AE6" w:rsidP="008037D1">
      <w:pPr>
        <w:pStyle w:val="Heading2"/>
        <w:numPr>
          <w:ilvl w:val="1"/>
          <w:numId w:val="91"/>
        </w:numPr>
        <w:rPr>
          <w:rFonts w:eastAsia="Times"/>
        </w:rPr>
      </w:pPr>
      <w:bookmarkStart w:id="48" w:name="_Toc138239120"/>
      <w:r w:rsidRPr="00E30AE6">
        <w:rPr>
          <w:rFonts w:eastAsia="Times"/>
        </w:rPr>
        <w:t>Electricity production and consumption</w:t>
      </w:r>
      <w:bookmarkEnd w:id="48"/>
    </w:p>
    <w:p w14:paraId="601F66DA" w14:textId="77777777" w:rsidR="00E30AE6" w:rsidRPr="00E30AE6" w:rsidRDefault="00E30AE6" w:rsidP="00E30AE6">
      <w:pPr>
        <w:rPr>
          <w:rFonts w:eastAsia="Times"/>
        </w:rPr>
      </w:pPr>
      <w:r w:rsidRPr="008037D1">
        <w:rPr>
          <w:rFonts w:eastAsia="Times"/>
          <w:b/>
          <w:bCs/>
        </w:rPr>
        <w:t>Note</w:t>
      </w:r>
      <w:r w:rsidRPr="00E30AE6">
        <w:rPr>
          <w:rFonts w:eastAsia="Times"/>
        </w:rPr>
        <w:t>: many of the segmentation types listed will not apply to your organisation.</w:t>
      </w:r>
    </w:p>
    <w:p w14:paraId="70702D45" w14:textId="2EAAA991" w:rsidR="000A40D5" w:rsidRDefault="000A40D5" w:rsidP="008037D1">
      <w:pPr>
        <w:pStyle w:val="Tablecaption"/>
      </w:pPr>
      <w:r>
        <w:t xml:space="preserve">Table </w:t>
      </w:r>
      <w:fldSimple w:instr=" SEQ Table \* ARABIC ">
        <w:r w:rsidR="00C52465">
          <w:rPr>
            <w:noProof/>
          </w:rPr>
          <w:t>2</w:t>
        </w:r>
      </w:fldSimple>
      <w:r>
        <w:t>: Electricity production and consumption indicators</w:t>
      </w:r>
    </w:p>
    <w:tbl>
      <w:tblPr>
        <w:tblStyle w:val="Bluetable"/>
        <w:tblW w:w="9634" w:type="dxa"/>
        <w:tblInd w:w="5" w:type="dxa"/>
        <w:tblLook w:val="04A0" w:firstRow="1" w:lastRow="0" w:firstColumn="1" w:lastColumn="0" w:noHBand="0" w:noVBand="1"/>
      </w:tblPr>
      <w:tblGrid>
        <w:gridCol w:w="1500"/>
        <w:gridCol w:w="3759"/>
        <w:gridCol w:w="3125"/>
        <w:gridCol w:w="1250"/>
      </w:tblGrid>
      <w:tr w:rsidR="00E30AE6" w:rsidRPr="00025C1F" w14:paraId="2A85EC1C" w14:textId="77777777" w:rsidTr="008037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FB990A3" w14:textId="77777777" w:rsidR="00E30AE6" w:rsidRPr="008037D1" w:rsidRDefault="00E30AE6" w:rsidP="008037D1">
            <w:pPr>
              <w:pStyle w:val="Tablecolhead"/>
              <w:rPr>
                <w:rFonts w:eastAsia="Times"/>
                <w:lang w:val="en-AU"/>
              </w:rPr>
            </w:pPr>
            <w:r w:rsidRPr="00227074">
              <w:rPr>
                <w:rFonts w:eastAsia="Times"/>
              </w:rPr>
              <w:t>Indicator</w:t>
            </w:r>
          </w:p>
        </w:tc>
        <w:tc>
          <w:tcPr>
            <w:tcW w:w="3411" w:type="dxa"/>
          </w:tcPr>
          <w:p w14:paraId="7CEE9614"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Segmentation</w:t>
            </w:r>
          </w:p>
        </w:tc>
        <w:tc>
          <w:tcPr>
            <w:tcW w:w="2835" w:type="dxa"/>
          </w:tcPr>
          <w:p w14:paraId="68006770"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Data sources</w:t>
            </w:r>
          </w:p>
        </w:tc>
        <w:tc>
          <w:tcPr>
            <w:tcW w:w="1134" w:type="dxa"/>
          </w:tcPr>
          <w:p w14:paraId="728D1C5C" w14:textId="0E807E2D" w:rsidR="00E30AE6" w:rsidRPr="008037D1" w:rsidRDefault="00025C1F"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Pr>
                <w:rFonts w:eastAsia="Times"/>
                <w:lang w:val="en-AU"/>
              </w:rPr>
              <w:t>T</w:t>
            </w:r>
            <w:proofErr w:type="spellStart"/>
            <w:r w:rsidR="00E30AE6" w:rsidRPr="00227074">
              <w:rPr>
                <w:rFonts w:eastAsia="Times"/>
              </w:rPr>
              <w:t>ier</w:t>
            </w:r>
            <w:proofErr w:type="spellEnd"/>
          </w:p>
        </w:tc>
      </w:tr>
      <w:tr w:rsidR="00E30AE6" w:rsidRPr="00025C1F" w14:paraId="0E17B069"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EBFBD38" w14:textId="3C5C95E4" w:rsidR="00E30AE6" w:rsidRPr="008037D1" w:rsidRDefault="00E30AE6" w:rsidP="008037D1">
            <w:pPr>
              <w:pStyle w:val="Tabletext"/>
              <w:rPr>
                <w:rFonts w:eastAsia="Times"/>
                <w:lang w:val="en-AU"/>
              </w:rPr>
            </w:pPr>
            <w:r w:rsidRPr="00025C1F">
              <w:rPr>
                <w:rFonts w:eastAsia="Times"/>
                <w:b/>
              </w:rPr>
              <w:t>EL1</w:t>
            </w:r>
            <w:r w:rsidR="00EA381D" w:rsidRPr="00025C1F">
              <w:rPr>
                <w:rFonts w:eastAsia="Times"/>
              </w:rPr>
              <w:t xml:space="preserve">: </w:t>
            </w:r>
            <w:r w:rsidRPr="00025C1F">
              <w:rPr>
                <w:rFonts w:eastAsia="Times"/>
              </w:rPr>
              <w:t>Total electricity consumption (MWh)</w:t>
            </w:r>
          </w:p>
          <w:p w14:paraId="4CCAFF62" w14:textId="5F8D8267" w:rsidR="00E30AE6" w:rsidRPr="008037D1" w:rsidRDefault="00E30AE6" w:rsidP="008037D1">
            <w:pPr>
              <w:pStyle w:val="Tablebullet1"/>
              <w:rPr>
                <w:rFonts w:eastAsia="Times"/>
                <w:lang w:val="en-AU"/>
              </w:rPr>
            </w:pPr>
            <w:r w:rsidRPr="00025C1F">
              <w:rPr>
                <w:rFonts w:eastAsia="Times"/>
              </w:rPr>
              <w:t>Reported through the EDMS</w:t>
            </w:r>
          </w:p>
        </w:tc>
        <w:tc>
          <w:tcPr>
            <w:tcW w:w="3411" w:type="dxa"/>
          </w:tcPr>
          <w:p w14:paraId="22B43E20" w14:textId="3E57FE15"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8037D1">
              <w:rPr>
                <w:rFonts w:eastAsia="Times"/>
                <w:b/>
                <w:bCs/>
              </w:rPr>
              <w:t>Consumption data</w:t>
            </w:r>
            <w:r w:rsidR="00025C1F" w:rsidRPr="00025C1F">
              <w:rPr>
                <w:rFonts w:eastAsia="Times"/>
              </w:rPr>
              <w:t>,</w:t>
            </w:r>
            <w:r w:rsidRPr="00025C1F">
              <w:rPr>
                <w:rFonts w:eastAsia="Times"/>
              </w:rPr>
              <w:t xml:space="preserve"> segmented by source:</w:t>
            </w:r>
          </w:p>
          <w:p w14:paraId="77C01E33" w14:textId="52D09CCF"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Purchased directly through an electricity retailer (including </w:t>
            </w:r>
            <w:r w:rsidR="00025C1F" w:rsidRPr="00025C1F">
              <w:rPr>
                <w:rFonts w:eastAsia="Times"/>
              </w:rPr>
              <w:t>state purchasing contracts</w:t>
            </w:r>
            <w:r w:rsidRPr="00025C1F">
              <w:rPr>
                <w:rFonts w:eastAsia="Times"/>
              </w:rPr>
              <w:t xml:space="preserve">, </w:t>
            </w:r>
            <w:r w:rsidR="00025C1F" w:rsidRPr="00025C1F">
              <w:rPr>
                <w:rFonts w:eastAsia="Times"/>
              </w:rPr>
              <w:t xml:space="preserve">HSV </w:t>
            </w:r>
            <w:r w:rsidRPr="00025C1F">
              <w:rPr>
                <w:rFonts w:eastAsia="Times"/>
              </w:rPr>
              <w:t>contracts or other retail contracts)</w:t>
            </w:r>
          </w:p>
          <w:p w14:paraId="20537CCC" w14:textId="281C808D"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Not directly purchased but sourced from outside the organisation</w:t>
            </w:r>
            <w:r w:rsidR="00025C1F" w:rsidRPr="00025C1F">
              <w:rPr>
                <w:rFonts w:eastAsia="Times"/>
              </w:rPr>
              <w:t xml:space="preserve"> (such as premises lease</w:t>
            </w:r>
            <w:r w:rsidR="00025C1F">
              <w:rPr>
                <w:rFonts w:eastAsia="Times"/>
                <w:lang w:val="en-AU"/>
              </w:rPr>
              <w:t>d</w:t>
            </w:r>
            <w:r w:rsidR="00025C1F" w:rsidRPr="00025C1F">
              <w:rPr>
                <w:rFonts w:eastAsia="Times"/>
              </w:rPr>
              <w:t xml:space="preserve"> within a larger commercial office building that are not individually metered)</w:t>
            </w:r>
          </w:p>
          <w:p w14:paraId="3DE751BC" w14:textId="2EDDE669"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Self-generated (</w:t>
            </w:r>
            <w:r w:rsidR="00025C1F">
              <w:rPr>
                <w:rFonts w:eastAsia="Times"/>
                <w:lang w:val="en-AU"/>
              </w:rPr>
              <w:t xml:space="preserve">if </w:t>
            </w:r>
            <w:r w:rsidRPr="00025C1F">
              <w:rPr>
                <w:rFonts w:eastAsia="Times"/>
              </w:rPr>
              <w:t>data is available) – should be same as EL2</w:t>
            </w:r>
            <w:r w:rsidR="00025C1F">
              <w:rPr>
                <w:rFonts w:eastAsia="Times"/>
                <w:lang w:val="en-AU"/>
              </w:rPr>
              <w:t>:</w:t>
            </w:r>
            <w:r w:rsidRPr="00025C1F">
              <w:rPr>
                <w:rFonts w:eastAsia="Times"/>
              </w:rPr>
              <w:t xml:space="preserve"> consumption behind-the-meter</w:t>
            </w:r>
          </w:p>
        </w:tc>
        <w:tc>
          <w:tcPr>
            <w:tcW w:w="2835" w:type="dxa"/>
          </w:tcPr>
          <w:p w14:paraId="6E3778E7" w14:textId="11DD1035"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EDMS </w:t>
            </w:r>
            <w:r w:rsidR="00025C1F">
              <w:rPr>
                <w:rFonts w:eastAsia="Times"/>
                <w:lang w:val="en-AU"/>
              </w:rPr>
              <w:t xml:space="preserve">can </w:t>
            </w:r>
            <w:r w:rsidRPr="00025C1F">
              <w:rPr>
                <w:rFonts w:eastAsia="Times"/>
              </w:rPr>
              <w:t>upload this data (depending on your accounts)</w:t>
            </w:r>
          </w:p>
          <w:p w14:paraId="61262D6D" w14:textId="68C36E5C"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Electricity retailer billing </w:t>
            </w:r>
            <w:r w:rsidR="00025C1F">
              <w:rPr>
                <w:rFonts w:eastAsia="Times"/>
                <w:lang w:val="en-AU"/>
              </w:rPr>
              <w:t>or</w:t>
            </w:r>
            <w:r w:rsidR="00025C1F" w:rsidRPr="00025C1F">
              <w:rPr>
                <w:rFonts w:eastAsia="Times"/>
              </w:rPr>
              <w:t xml:space="preserve"> </w:t>
            </w:r>
            <w:r w:rsidRPr="00025C1F">
              <w:rPr>
                <w:rFonts w:eastAsia="Times"/>
              </w:rPr>
              <w:t>invoices</w:t>
            </w:r>
          </w:p>
          <w:p w14:paraId="10A9A403" w14:textId="2C6DA69A"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Distribution </w:t>
            </w:r>
            <w:r w:rsidR="00025C1F">
              <w:rPr>
                <w:rFonts w:eastAsia="Times"/>
                <w:lang w:val="en-AU"/>
              </w:rPr>
              <w:t>n</w:t>
            </w:r>
            <w:proofErr w:type="spellStart"/>
            <w:r w:rsidR="00025C1F" w:rsidRPr="00025C1F">
              <w:rPr>
                <w:rFonts w:eastAsia="Times"/>
              </w:rPr>
              <w:t>etwork</w:t>
            </w:r>
            <w:proofErr w:type="spellEnd"/>
            <w:r w:rsidR="00025C1F" w:rsidRPr="00025C1F">
              <w:rPr>
                <w:rFonts w:eastAsia="Times"/>
              </w:rPr>
              <w:t xml:space="preserve"> </w:t>
            </w:r>
            <w:r w:rsidRPr="00025C1F">
              <w:rPr>
                <w:rFonts w:eastAsia="Times"/>
              </w:rPr>
              <w:t>online data portals</w:t>
            </w:r>
          </w:p>
          <w:p w14:paraId="5705D2C4"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Smart meters</w:t>
            </w:r>
          </w:p>
        </w:tc>
        <w:tc>
          <w:tcPr>
            <w:tcW w:w="1134" w:type="dxa"/>
          </w:tcPr>
          <w:p w14:paraId="15739494" w14:textId="4A5EF9ED"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Tier</w:t>
            </w:r>
            <w:r w:rsidR="00A1739E" w:rsidRPr="00025C1F">
              <w:rPr>
                <w:rFonts w:eastAsia="Times"/>
              </w:rPr>
              <w:t>s</w:t>
            </w:r>
            <w:r w:rsidRPr="00025C1F">
              <w:rPr>
                <w:rFonts w:eastAsia="Times"/>
              </w:rPr>
              <w:t xml:space="preserve"> 2, 3a and 4</w:t>
            </w:r>
          </w:p>
        </w:tc>
      </w:tr>
      <w:tr w:rsidR="00E30AE6" w:rsidRPr="00025C1F" w14:paraId="0F7E6442"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D759ED" w14:textId="15565601" w:rsidR="00E30AE6" w:rsidRPr="008037D1" w:rsidRDefault="00E30AE6" w:rsidP="008037D1">
            <w:pPr>
              <w:pStyle w:val="Tabletext"/>
              <w:rPr>
                <w:rFonts w:eastAsia="Times"/>
                <w:lang w:val="en-AU"/>
              </w:rPr>
            </w:pPr>
            <w:r w:rsidRPr="00025C1F">
              <w:rPr>
                <w:rFonts w:eastAsia="Times"/>
                <w:b/>
              </w:rPr>
              <w:t>EL2</w:t>
            </w:r>
            <w:r w:rsidR="00EA381D" w:rsidRPr="008037D1">
              <w:rPr>
                <w:rFonts w:eastAsia="Times"/>
                <w:bCs/>
              </w:rPr>
              <w:t>:</w:t>
            </w:r>
            <w:r w:rsidRPr="00025C1F">
              <w:rPr>
                <w:rFonts w:eastAsia="Times"/>
                <w:b/>
              </w:rPr>
              <w:t xml:space="preserve"> </w:t>
            </w:r>
            <w:r w:rsidRPr="00025C1F">
              <w:rPr>
                <w:rFonts w:eastAsia="Times"/>
              </w:rPr>
              <w:t>Onsite electricity generation</w:t>
            </w:r>
            <w:r w:rsidR="00401818" w:rsidRPr="00025C1F">
              <w:rPr>
                <w:rFonts w:eastAsia="Times"/>
              </w:rPr>
              <w:t>,</w:t>
            </w:r>
            <w:r w:rsidRPr="00025C1F">
              <w:rPr>
                <w:rFonts w:eastAsia="Times"/>
              </w:rPr>
              <w:t xml:space="preserve"> segmented by</w:t>
            </w:r>
            <w:r w:rsidR="00EA381D" w:rsidRPr="00025C1F">
              <w:rPr>
                <w:rFonts w:eastAsia="Times"/>
              </w:rPr>
              <w:t xml:space="preserve"> </w:t>
            </w:r>
            <w:r w:rsidRPr="00025C1F">
              <w:rPr>
                <w:rFonts w:eastAsia="Times"/>
              </w:rPr>
              <w:t>source and usage (MWh)</w:t>
            </w:r>
          </w:p>
          <w:p w14:paraId="1B409407" w14:textId="3B6D31CF" w:rsidR="00E30AE6" w:rsidRPr="008037D1" w:rsidRDefault="00E30AE6" w:rsidP="008037D1">
            <w:pPr>
              <w:pStyle w:val="Tablebullet1"/>
              <w:rPr>
                <w:rFonts w:eastAsia="Times"/>
                <w:lang w:val="en-AU"/>
              </w:rPr>
            </w:pPr>
            <w:r w:rsidRPr="00025C1F">
              <w:rPr>
                <w:rFonts w:eastAsia="Times"/>
              </w:rPr>
              <w:t>Reported through the EDMS</w:t>
            </w:r>
          </w:p>
        </w:tc>
        <w:tc>
          <w:tcPr>
            <w:tcW w:w="3411" w:type="dxa"/>
          </w:tcPr>
          <w:p w14:paraId="177B824C" w14:textId="671CB301"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b/>
                <w:bCs/>
              </w:rPr>
              <w:t>Production data</w:t>
            </w:r>
            <w:r w:rsidR="00025C1F" w:rsidRPr="00025C1F">
              <w:rPr>
                <w:rFonts w:eastAsia="Times"/>
              </w:rPr>
              <w:t>,</w:t>
            </w:r>
            <w:r w:rsidRPr="00025C1F">
              <w:rPr>
                <w:rFonts w:eastAsia="Times"/>
              </w:rPr>
              <w:t xml:space="preserve"> segmented by generation technology and usage:</w:t>
            </w:r>
          </w:p>
          <w:p w14:paraId="78426876"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Consumption behind-the-meter</w:t>
            </w:r>
          </w:p>
          <w:p w14:paraId="26AE6251"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Exports</w:t>
            </w:r>
          </w:p>
          <w:p w14:paraId="0AFE8330" w14:textId="530C2147" w:rsidR="00E30AE6" w:rsidRPr="008037D1" w:rsidRDefault="00E30AE6" w:rsidP="008037D1">
            <w:pPr>
              <w:pStyle w:val="Tablebullet1"/>
              <w:spacing w:after="240"/>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If relevant</w:t>
            </w:r>
            <w:r w:rsidR="00025C1F">
              <w:rPr>
                <w:rFonts w:eastAsia="Times"/>
                <w:lang w:val="en-AU"/>
              </w:rPr>
              <w:t>,</w:t>
            </w:r>
            <w:r w:rsidRPr="00025C1F">
              <w:rPr>
                <w:rFonts w:eastAsia="Times"/>
              </w:rPr>
              <w:t xml:space="preserve"> for use outside the facility other than for supply to the grid.</w:t>
            </w:r>
          </w:p>
          <w:p w14:paraId="60FB8008" w14:textId="13657A8F" w:rsidR="00E30AE6" w:rsidRPr="008037D1" w:rsidRDefault="00E30AE6" w:rsidP="008037D1">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8037D1">
              <w:rPr>
                <w:b/>
                <w:bCs w:val="0"/>
              </w:rPr>
              <w:t>A</w:t>
            </w:r>
            <w:r w:rsidR="00025C1F" w:rsidRPr="008037D1">
              <w:rPr>
                <w:b/>
                <w:bCs w:val="0"/>
              </w:rPr>
              <w:t>lso</w:t>
            </w:r>
            <w:r w:rsidR="00025C1F" w:rsidRPr="00227074">
              <w:t>:</w:t>
            </w:r>
          </w:p>
          <w:p w14:paraId="2B6BAA91"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Solar PV</w:t>
            </w:r>
          </w:p>
          <w:p w14:paraId="5C7B5996"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Bioenergy</w:t>
            </w:r>
          </w:p>
          <w:p w14:paraId="0328B254" w14:textId="22FD73B4"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Co</w:t>
            </w:r>
            <w:r w:rsidR="00025C1F" w:rsidRPr="00025C1F">
              <w:rPr>
                <w:rFonts w:eastAsia="Times"/>
              </w:rPr>
              <w:t>-</w:t>
            </w:r>
            <w:r w:rsidRPr="00025C1F">
              <w:rPr>
                <w:rFonts w:eastAsia="Times"/>
              </w:rPr>
              <w:t xml:space="preserve">generation </w:t>
            </w:r>
          </w:p>
          <w:p w14:paraId="4B4DE408"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Other non-renewable</w:t>
            </w:r>
          </w:p>
        </w:tc>
        <w:tc>
          <w:tcPr>
            <w:tcW w:w="2835" w:type="dxa"/>
          </w:tcPr>
          <w:p w14:paraId="0631E47F" w14:textId="3A0B8DC6"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EDMS can upload this data (once the </w:t>
            </w:r>
            <w:r w:rsidR="00025C1F">
              <w:rPr>
                <w:rFonts w:eastAsia="Times"/>
                <w:lang w:val="en-AU"/>
              </w:rPr>
              <w:t xml:space="preserve">department </w:t>
            </w:r>
            <w:r w:rsidRPr="00025C1F">
              <w:rPr>
                <w:rFonts w:eastAsia="Times"/>
              </w:rPr>
              <w:t>collate</w:t>
            </w:r>
            <w:r w:rsidR="00025C1F">
              <w:rPr>
                <w:rFonts w:eastAsia="Times"/>
                <w:lang w:val="en-AU"/>
              </w:rPr>
              <w:t>s</w:t>
            </w:r>
            <w:r w:rsidRPr="00025C1F">
              <w:rPr>
                <w:rFonts w:eastAsia="Times"/>
              </w:rPr>
              <w:t xml:space="preserve"> and </w:t>
            </w:r>
            <w:r w:rsidR="00025C1F">
              <w:rPr>
                <w:rFonts w:eastAsia="Times"/>
                <w:lang w:val="en-AU"/>
              </w:rPr>
              <w:t xml:space="preserve">adds it </w:t>
            </w:r>
            <w:r w:rsidRPr="00025C1F">
              <w:rPr>
                <w:rFonts w:eastAsia="Times"/>
              </w:rPr>
              <w:t>to the system)</w:t>
            </w:r>
          </w:p>
          <w:p w14:paraId="4317A198" w14:textId="6CE4C175"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Monitoring systems </w:t>
            </w:r>
            <w:r w:rsidR="00025C1F">
              <w:rPr>
                <w:rFonts w:eastAsia="Times"/>
                <w:lang w:val="en-AU"/>
              </w:rPr>
              <w:t>or</w:t>
            </w:r>
            <w:r w:rsidR="00025C1F" w:rsidRPr="00025C1F">
              <w:rPr>
                <w:rFonts w:eastAsia="Times"/>
              </w:rPr>
              <w:t xml:space="preserve"> </w:t>
            </w:r>
            <w:r w:rsidRPr="00025C1F">
              <w:rPr>
                <w:rFonts w:eastAsia="Times"/>
              </w:rPr>
              <w:t>meters connected to onsite electricity generation</w:t>
            </w:r>
            <w:r w:rsidR="00025C1F">
              <w:rPr>
                <w:rFonts w:eastAsia="Times"/>
                <w:lang w:val="en-AU"/>
              </w:rPr>
              <w:t xml:space="preserve"> (</w:t>
            </w:r>
            <w:r w:rsidR="008725D6">
              <w:rPr>
                <w:rFonts w:eastAsia="Times"/>
                <w:lang w:val="en-AU"/>
              </w:rPr>
              <w:t>such as</w:t>
            </w:r>
            <w:r w:rsidRPr="00025C1F">
              <w:rPr>
                <w:rFonts w:eastAsia="Times"/>
              </w:rPr>
              <w:t xml:space="preserve"> solar tracking portals</w:t>
            </w:r>
            <w:r w:rsidR="00025C1F">
              <w:rPr>
                <w:rFonts w:eastAsia="Times"/>
                <w:lang w:val="en-AU"/>
              </w:rPr>
              <w:t>)</w:t>
            </w:r>
            <w:r w:rsidRPr="00025C1F">
              <w:rPr>
                <w:rFonts w:eastAsia="Times"/>
              </w:rPr>
              <w:t>.</w:t>
            </w:r>
          </w:p>
          <w:p w14:paraId="7C9F2CAA" w14:textId="77777777" w:rsidR="00E30AE6" w:rsidRPr="008037D1" w:rsidRDefault="00E30AE6" w:rsidP="008037D1">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val="0"/>
              </w:rPr>
              <w:t>For exports only</w:t>
            </w:r>
            <w:r w:rsidRPr="008037D1">
              <w:rPr>
                <w:rFonts w:eastAsia="Times New Roman"/>
              </w:rPr>
              <w:t>:</w:t>
            </w:r>
          </w:p>
          <w:p w14:paraId="01817DE8" w14:textId="1EDE86D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Electricity retailer billing </w:t>
            </w:r>
            <w:r w:rsidR="00025C1F">
              <w:rPr>
                <w:rFonts w:eastAsia="Times"/>
                <w:lang w:val="en-AU"/>
              </w:rPr>
              <w:t>or</w:t>
            </w:r>
            <w:r w:rsidR="00025C1F" w:rsidRPr="00025C1F">
              <w:rPr>
                <w:rFonts w:eastAsia="Times"/>
              </w:rPr>
              <w:t xml:space="preserve"> </w:t>
            </w:r>
            <w:r w:rsidRPr="00025C1F">
              <w:rPr>
                <w:rFonts w:eastAsia="Times"/>
              </w:rPr>
              <w:t>invoices</w:t>
            </w:r>
          </w:p>
          <w:p w14:paraId="5FC7E267" w14:textId="59E797C8"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Distribution </w:t>
            </w:r>
            <w:r w:rsidR="00025C1F">
              <w:rPr>
                <w:rFonts w:eastAsia="Times"/>
                <w:lang w:val="en-AU"/>
              </w:rPr>
              <w:t>n</w:t>
            </w:r>
            <w:proofErr w:type="spellStart"/>
            <w:r w:rsidR="00025C1F" w:rsidRPr="00025C1F">
              <w:rPr>
                <w:rFonts w:eastAsia="Times"/>
              </w:rPr>
              <w:t>etwork</w:t>
            </w:r>
            <w:proofErr w:type="spellEnd"/>
            <w:r w:rsidR="00025C1F" w:rsidRPr="00025C1F">
              <w:rPr>
                <w:rFonts w:eastAsia="Times"/>
              </w:rPr>
              <w:t xml:space="preserve"> </w:t>
            </w:r>
            <w:r w:rsidRPr="00025C1F">
              <w:rPr>
                <w:rFonts w:eastAsia="Times"/>
              </w:rPr>
              <w:t>online data portals</w:t>
            </w:r>
          </w:p>
        </w:tc>
        <w:tc>
          <w:tcPr>
            <w:tcW w:w="1134" w:type="dxa"/>
          </w:tcPr>
          <w:p w14:paraId="1245814F" w14:textId="1813BFC6"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Tier</w:t>
            </w:r>
            <w:r w:rsidR="00A1739E" w:rsidRPr="00025C1F">
              <w:rPr>
                <w:rFonts w:eastAsia="Times"/>
              </w:rPr>
              <w:t>s</w:t>
            </w:r>
            <w:r w:rsidRPr="00025C1F">
              <w:rPr>
                <w:rFonts w:eastAsia="Times"/>
              </w:rPr>
              <w:t xml:space="preserve"> 2 and 3a</w:t>
            </w:r>
          </w:p>
        </w:tc>
      </w:tr>
      <w:tr w:rsidR="00E30AE6" w:rsidRPr="00025C1F" w14:paraId="6E200EAA"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ED8E00F" w14:textId="11A0367D" w:rsidR="00E30AE6" w:rsidRPr="008037D1" w:rsidRDefault="00E30AE6" w:rsidP="008037D1">
            <w:pPr>
              <w:pStyle w:val="Tabletext"/>
              <w:rPr>
                <w:rFonts w:eastAsia="Times"/>
                <w:lang w:val="en-AU"/>
              </w:rPr>
            </w:pPr>
            <w:r w:rsidRPr="00025C1F">
              <w:rPr>
                <w:rFonts w:eastAsia="Times"/>
                <w:b/>
              </w:rPr>
              <w:t>EL3</w:t>
            </w:r>
            <w:r w:rsidR="00EA381D" w:rsidRPr="00025C1F">
              <w:rPr>
                <w:rFonts w:eastAsia="Times"/>
                <w:b/>
              </w:rPr>
              <w:t>:</w:t>
            </w:r>
            <w:r w:rsidRPr="00025C1F">
              <w:rPr>
                <w:rFonts w:eastAsia="Times"/>
                <w:b/>
              </w:rPr>
              <w:t xml:space="preserve"> </w:t>
            </w:r>
            <w:r w:rsidRPr="00025C1F">
              <w:rPr>
                <w:rFonts w:eastAsia="Times"/>
              </w:rPr>
              <w:t>Onsite installed generation capacity</w:t>
            </w:r>
            <w:r w:rsidR="00EA381D" w:rsidRPr="00025C1F">
              <w:rPr>
                <w:rFonts w:eastAsia="Times"/>
              </w:rPr>
              <w:t xml:space="preserve"> </w:t>
            </w:r>
            <w:r w:rsidRPr="00025C1F">
              <w:rPr>
                <w:rFonts w:eastAsia="Times"/>
              </w:rPr>
              <w:t>(MW)</w:t>
            </w:r>
          </w:p>
          <w:p w14:paraId="6118A678" w14:textId="0B3F737D" w:rsidR="00E30AE6" w:rsidRPr="008037D1" w:rsidRDefault="00E30AE6" w:rsidP="008037D1">
            <w:pPr>
              <w:pStyle w:val="Tablebullet1"/>
              <w:rPr>
                <w:rFonts w:eastAsia="Times"/>
                <w:lang w:val="en-AU"/>
              </w:rPr>
            </w:pPr>
            <w:r w:rsidRPr="00025C1F">
              <w:rPr>
                <w:rFonts w:eastAsia="Times"/>
              </w:rPr>
              <w:t>Reported through the EDMS</w:t>
            </w:r>
          </w:p>
        </w:tc>
        <w:tc>
          <w:tcPr>
            <w:tcW w:w="3411" w:type="dxa"/>
          </w:tcPr>
          <w:p w14:paraId="09B72FBA" w14:textId="261916F9"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Report on total capacity at the end of the reporting period</w:t>
            </w:r>
            <w:r w:rsidR="008725D6">
              <w:rPr>
                <w:rFonts w:eastAsia="Times"/>
                <w:lang w:val="en-AU"/>
              </w:rPr>
              <w:t>,</w:t>
            </w:r>
            <w:r w:rsidRPr="00025C1F">
              <w:rPr>
                <w:rFonts w:eastAsia="Times"/>
              </w:rPr>
              <w:t xml:space="preserve"> segmented by technology:</w:t>
            </w:r>
          </w:p>
          <w:p w14:paraId="53AE95C9"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Solar PV</w:t>
            </w:r>
          </w:p>
          <w:p w14:paraId="6BB52818"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Bioenergy</w:t>
            </w:r>
          </w:p>
          <w:p w14:paraId="1FD00606" w14:textId="1CB11418"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Energy </w:t>
            </w:r>
            <w:r w:rsidR="008725D6" w:rsidRPr="008725D6">
              <w:rPr>
                <w:rFonts w:eastAsia="Times"/>
                <w:lang w:val="en-AU"/>
              </w:rPr>
              <w:t xml:space="preserve">storage systems </w:t>
            </w:r>
            <w:r w:rsidR="008725D6">
              <w:rPr>
                <w:rFonts w:eastAsia="Times"/>
                <w:lang w:val="en-AU"/>
              </w:rPr>
              <w:t xml:space="preserve">– </w:t>
            </w:r>
            <w:r w:rsidRPr="00025C1F">
              <w:rPr>
                <w:rFonts w:eastAsia="Times"/>
              </w:rPr>
              <w:t xml:space="preserve">report power capacity (MW) and total storage capacity </w:t>
            </w:r>
            <w:r w:rsidR="008725D6">
              <w:rPr>
                <w:rFonts w:eastAsia="Times"/>
                <w:lang w:val="en-AU"/>
              </w:rPr>
              <w:t>(</w:t>
            </w:r>
            <w:r w:rsidRPr="00025C1F">
              <w:rPr>
                <w:rFonts w:eastAsia="Times"/>
              </w:rPr>
              <w:t>MWh</w:t>
            </w:r>
            <w:r w:rsidR="008725D6">
              <w:rPr>
                <w:rFonts w:eastAsia="Times"/>
                <w:lang w:val="en-AU"/>
              </w:rPr>
              <w:t>)</w:t>
            </w:r>
            <w:r w:rsidRPr="00025C1F">
              <w:rPr>
                <w:rFonts w:eastAsia="Times"/>
                <w:vertAlign w:val="superscript"/>
              </w:rPr>
              <w:footnoteReference w:id="5"/>
            </w:r>
          </w:p>
          <w:p w14:paraId="0A83DDD6" w14:textId="548B2D9E"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Co</w:t>
            </w:r>
            <w:r w:rsidR="008725D6">
              <w:rPr>
                <w:rFonts w:eastAsia="Times"/>
                <w:lang w:val="en-AU"/>
              </w:rPr>
              <w:t>-</w:t>
            </w:r>
            <w:r w:rsidRPr="00025C1F">
              <w:rPr>
                <w:rFonts w:eastAsia="Times"/>
              </w:rPr>
              <w:t>generation</w:t>
            </w:r>
          </w:p>
          <w:p w14:paraId="7FE2236B"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Other non-renewable (including standby power systems if relevant)</w:t>
            </w:r>
          </w:p>
        </w:tc>
        <w:tc>
          <w:tcPr>
            <w:tcW w:w="2835" w:type="dxa"/>
          </w:tcPr>
          <w:p w14:paraId="2175C76B"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EDMS can provide metadata (contextual data)</w:t>
            </w:r>
          </w:p>
          <w:p w14:paraId="3E701DFA" w14:textId="505C8B79"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Asset register</w:t>
            </w:r>
          </w:p>
          <w:p w14:paraId="6E3ACBF2" w14:textId="1A115FCE"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Monitoring systems </w:t>
            </w:r>
            <w:r w:rsidR="008725D6">
              <w:rPr>
                <w:rFonts w:eastAsia="Times"/>
                <w:lang w:val="en-AU"/>
              </w:rPr>
              <w:t>or</w:t>
            </w:r>
            <w:r w:rsidR="008725D6" w:rsidRPr="00025C1F">
              <w:rPr>
                <w:rFonts w:eastAsia="Times"/>
              </w:rPr>
              <w:t xml:space="preserve"> </w:t>
            </w:r>
            <w:r w:rsidRPr="00025C1F">
              <w:rPr>
                <w:rFonts w:eastAsia="Times"/>
              </w:rPr>
              <w:t>meters connected to onsite electricity generation</w:t>
            </w:r>
            <w:r w:rsidR="008725D6">
              <w:rPr>
                <w:rFonts w:eastAsia="Times"/>
                <w:lang w:val="en-AU"/>
              </w:rPr>
              <w:t xml:space="preserve"> (such as</w:t>
            </w:r>
            <w:r w:rsidRPr="00025C1F">
              <w:rPr>
                <w:rFonts w:eastAsia="Times"/>
              </w:rPr>
              <w:t xml:space="preserve"> solar tracking portals</w:t>
            </w:r>
            <w:r w:rsidR="008725D6">
              <w:rPr>
                <w:rFonts w:eastAsia="Times"/>
                <w:lang w:val="en-AU"/>
              </w:rPr>
              <w:t>)</w:t>
            </w:r>
          </w:p>
          <w:p w14:paraId="60AEF1BB"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Installation paperwork, invoices from installers or EPC contractors</w:t>
            </w:r>
          </w:p>
        </w:tc>
        <w:tc>
          <w:tcPr>
            <w:tcW w:w="1134" w:type="dxa"/>
          </w:tcPr>
          <w:p w14:paraId="327C85A6" w14:textId="59F3B787"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Tier</w:t>
            </w:r>
            <w:r w:rsidR="00025C1F">
              <w:rPr>
                <w:rFonts w:eastAsia="Times"/>
                <w:lang w:val="en-AU"/>
              </w:rPr>
              <w:t>s</w:t>
            </w:r>
            <w:r w:rsidRPr="00025C1F">
              <w:rPr>
                <w:rFonts w:eastAsia="Times"/>
              </w:rPr>
              <w:t xml:space="preserve"> 2 and 3a</w:t>
            </w:r>
          </w:p>
        </w:tc>
      </w:tr>
      <w:tr w:rsidR="00E30AE6" w:rsidRPr="00025C1F" w14:paraId="7917DFF7"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DF7609" w14:textId="31E47366" w:rsidR="00E30AE6" w:rsidRPr="008037D1" w:rsidRDefault="00E30AE6" w:rsidP="008037D1">
            <w:pPr>
              <w:pStyle w:val="Tabletext"/>
              <w:rPr>
                <w:rFonts w:eastAsia="Times"/>
                <w:lang w:val="en-AU"/>
              </w:rPr>
            </w:pPr>
            <w:r w:rsidRPr="00025C1F">
              <w:rPr>
                <w:rFonts w:eastAsia="Times"/>
                <w:b/>
              </w:rPr>
              <w:t>EL4</w:t>
            </w:r>
            <w:r w:rsidR="00EA381D" w:rsidRPr="00025C1F">
              <w:rPr>
                <w:rFonts w:eastAsia="Times"/>
                <w:b/>
              </w:rPr>
              <w:t>:</w:t>
            </w:r>
            <w:r w:rsidRPr="00025C1F">
              <w:rPr>
                <w:rFonts w:eastAsia="Times"/>
                <w:b/>
              </w:rPr>
              <w:t xml:space="preserve"> </w:t>
            </w:r>
            <w:r w:rsidRPr="00025C1F">
              <w:rPr>
                <w:rFonts w:eastAsia="Times"/>
              </w:rPr>
              <w:t>Total electricity</w:t>
            </w:r>
            <w:r w:rsidR="00EA381D" w:rsidRPr="00025C1F">
              <w:rPr>
                <w:rFonts w:eastAsia="Times"/>
              </w:rPr>
              <w:t xml:space="preserve"> </w:t>
            </w:r>
            <w:r w:rsidRPr="00025C1F">
              <w:rPr>
                <w:rFonts w:eastAsia="Times"/>
              </w:rPr>
              <w:t>offsets (MWh)</w:t>
            </w:r>
          </w:p>
          <w:p w14:paraId="01E73F24" w14:textId="113D0709" w:rsidR="00E30AE6" w:rsidRPr="008037D1" w:rsidRDefault="00E30AE6" w:rsidP="008037D1">
            <w:pPr>
              <w:pStyle w:val="Tablebullet1"/>
              <w:rPr>
                <w:rFonts w:eastAsia="Times"/>
                <w:lang w:val="en-AU"/>
              </w:rPr>
            </w:pPr>
            <w:r w:rsidRPr="00025C1F">
              <w:rPr>
                <w:rFonts w:eastAsia="Times"/>
              </w:rPr>
              <w:t>Reported through the EDMS</w:t>
            </w:r>
          </w:p>
        </w:tc>
        <w:tc>
          <w:tcPr>
            <w:tcW w:w="3411" w:type="dxa"/>
          </w:tcPr>
          <w:p w14:paraId="1F6E0B11"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Segmented by type, as applicable:</w:t>
            </w:r>
          </w:p>
          <w:p w14:paraId="5BAB4D7D" w14:textId="6D43A05C"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proofErr w:type="spellStart"/>
            <w:r w:rsidRPr="00025C1F">
              <w:rPr>
                <w:rFonts w:eastAsia="Times"/>
              </w:rPr>
              <w:t>GreenPower</w:t>
            </w:r>
            <w:proofErr w:type="spellEnd"/>
            <w:r w:rsidRPr="00025C1F">
              <w:rPr>
                <w:rFonts w:eastAsia="Times"/>
              </w:rPr>
              <w:t xml:space="preserve"> or certified carbon neutral electricity purchased (</w:t>
            </w:r>
            <w:r w:rsidR="008725D6">
              <w:rPr>
                <w:rFonts w:eastAsia="Times"/>
                <w:lang w:val="en-AU"/>
              </w:rPr>
              <w:t>such as</w:t>
            </w:r>
            <w:r w:rsidRPr="00025C1F">
              <w:rPr>
                <w:rFonts w:eastAsia="Times"/>
              </w:rPr>
              <w:t xml:space="preserve"> through a retailer’s contract option)</w:t>
            </w:r>
          </w:p>
          <w:p w14:paraId="55C89BBC" w14:textId="566BDD2F"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LGCs </w:t>
            </w:r>
            <w:r w:rsidR="008725D6">
              <w:rPr>
                <w:rFonts w:eastAsia="Times"/>
                <w:lang w:val="en-AU"/>
              </w:rPr>
              <w:t xml:space="preserve">entity </w:t>
            </w:r>
            <w:r w:rsidRPr="00025C1F">
              <w:rPr>
                <w:rFonts w:eastAsia="Times"/>
              </w:rPr>
              <w:t>voluntarily retired</w:t>
            </w:r>
          </w:p>
          <w:p w14:paraId="0C0B67A6" w14:textId="03114658"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LGCs voluntarily retired on entity’s behalf</w:t>
            </w:r>
          </w:p>
          <w:p w14:paraId="7D567984" w14:textId="2E7833F6" w:rsidR="008725D6" w:rsidRDefault="00E30AE6">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LGCs mandatorily retired </w:t>
            </w:r>
            <w:r w:rsidR="008725D6">
              <w:rPr>
                <w:rFonts w:eastAsia="Times"/>
                <w:lang w:val="en-AU"/>
              </w:rPr>
              <w:t xml:space="preserve">– </w:t>
            </w:r>
            <w:r w:rsidRPr="00025C1F">
              <w:rPr>
                <w:rFonts w:eastAsia="Times"/>
              </w:rPr>
              <w:t>for RET liable entities only</w:t>
            </w:r>
          </w:p>
          <w:p w14:paraId="2C93F172" w14:textId="39A4AB90"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LGCs conveyed to an entity’s retailer for mandatory retirement (where relevant)</w:t>
            </w:r>
          </w:p>
        </w:tc>
        <w:tc>
          <w:tcPr>
            <w:tcW w:w="2835" w:type="dxa"/>
          </w:tcPr>
          <w:p w14:paraId="42A26759"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proofErr w:type="spellStart"/>
            <w:r w:rsidRPr="008037D1">
              <w:rPr>
                <w:rFonts w:eastAsia="Times"/>
                <w:b/>
                <w:bCs/>
              </w:rPr>
              <w:t>GreenPower</w:t>
            </w:r>
            <w:proofErr w:type="spellEnd"/>
            <w:r w:rsidRPr="00025C1F">
              <w:rPr>
                <w:rFonts w:eastAsia="Times"/>
              </w:rPr>
              <w:t>:</w:t>
            </w:r>
          </w:p>
          <w:p w14:paraId="6B639F5D" w14:textId="546E2A46"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Electricity retailer billing </w:t>
            </w:r>
            <w:r w:rsidR="008725D6">
              <w:rPr>
                <w:rFonts w:eastAsia="Times"/>
                <w:lang w:val="en-AU"/>
              </w:rPr>
              <w:t>or</w:t>
            </w:r>
            <w:r w:rsidRPr="00025C1F">
              <w:rPr>
                <w:rFonts w:eastAsia="Times"/>
              </w:rPr>
              <w:t xml:space="preserve"> invoices</w:t>
            </w:r>
          </w:p>
          <w:p w14:paraId="67E5B169" w14:textId="2158AB54"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Manual calculation based on </w:t>
            </w:r>
            <w:r w:rsidR="008725D6">
              <w:rPr>
                <w:rFonts w:eastAsia="Times"/>
                <w:lang w:val="en-AU"/>
              </w:rPr>
              <w:t>percentage of</w:t>
            </w:r>
            <w:r w:rsidR="008725D6" w:rsidRPr="00025C1F">
              <w:rPr>
                <w:rFonts w:eastAsia="Times"/>
              </w:rPr>
              <w:t xml:space="preserve"> </w:t>
            </w:r>
            <w:proofErr w:type="spellStart"/>
            <w:r w:rsidRPr="00025C1F">
              <w:rPr>
                <w:rFonts w:eastAsia="Times"/>
              </w:rPr>
              <w:t>GreenPower</w:t>
            </w:r>
            <w:proofErr w:type="spellEnd"/>
            <w:r w:rsidRPr="00025C1F">
              <w:rPr>
                <w:rFonts w:eastAsia="Times"/>
              </w:rPr>
              <w:t xml:space="preserve"> purchased</w:t>
            </w:r>
          </w:p>
          <w:p w14:paraId="71D40872" w14:textId="77777777" w:rsidR="00E30AE6" w:rsidRPr="008037D1" w:rsidRDefault="00E30AE6" w:rsidP="008037D1">
            <w:pPr>
              <w:pStyle w:val="Tabletext"/>
              <w:spacing w:before="120"/>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b/>
                <w:bCs/>
              </w:rPr>
              <w:t>LGCs</w:t>
            </w:r>
            <w:r w:rsidRPr="00025C1F">
              <w:rPr>
                <w:rFonts w:eastAsia="Times"/>
              </w:rPr>
              <w:t>:</w:t>
            </w:r>
          </w:p>
          <w:p w14:paraId="6E54EE8E"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Contract managers or finance team</w:t>
            </w:r>
          </w:p>
          <w:p w14:paraId="4B50A237" w14:textId="715184B2"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Contractor managing </w:t>
            </w:r>
            <w:r w:rsidR="008725D6">
              <w:rPr>
                <w:rFonts w:eastAsia="Times"/>
                <w:lang w:val="en-AU"/>
              </w:rPr>
              <w:t>power purchase agreement</w:t>
            </w:r>
            <w:r w:rsidR="008725D6" w:rsidRPr="00025C1F">
              <w:rPr>
                <w:rFonts w:eastAsia="Times"/>
              </w:rPr>
              <w:t xml:space="preserve"> </w:t>
            </w:r>
            <w:r w:rsidRPr="00025C1F">
              <w:rPr>
                <w:rFonts w:eastAsia="Times"/>
              </w:rPr>
              <w:t xml:space="preserve">on </w:t>
            </w:r>
            <w:r w:rsidR="008725D6">
              <w:rPr>
                <w:rFonts w:eastAsia="Times"/>
                <w:lang w:val="en-AU"/>
              </w:rPr>
              <w:t>entit</w:t>
            </w:r>
            <w:r w:rsidR="008725D6" w:rsidRPr="00025C1F">
              <w:rPr>
                <w:rFonts w:eastAsia="Times"/>
              </w:rPr>
              <w:t xml:space="preserve">y’s </w:t>
            </w:r>
            <w:r w:rsidRPr="00025C1F">
              <w:rPr>
                <w:rFonts w:eastAsia="Times"/>
              </w:rPr>
              <w:t>behalf</w:t>
            </w:r>
          </w:p>
          <w:p w14:paraId="6F6BEFB8"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REC Registry</w:t>
            </w:r>
          </w:p>
        </w:tc>
        <w:tc>
          <w:tcPr>
            <w:tcW w:w="1134" w:type="dxa"/>
          </w:tcPr>
          <w:p w14:paraId="1AD85A96" w14:textId="272B7B6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Tier</w:t>
            </w:r>
            <w:r w:rsidR="00025C1F">
              <w:rPr>
                <w:rFonts w:eastAsia="Times"/>
                <w:lang w:val="en-AU"/>
              </w:rPr>
              <w:t>s</w:t>
            </w:r>
            <w:r w:rsidRPr="00025C1F">
              <w:rPr>
                <w:rFonts w:eastAsia="Times"/>
              </w:rPr>
              <w:t xml:space="preserve"> 2, 3a and 4</w:t>
            </w:r>
          </w:p>
        </w:tc>
      </w:tr>
    </w:tbl>
    <w:p w14:paraId="19F3D34E" w14:textId="77777777" w:rsidR="001D7BDF" w:rsidRDefault="001D7BDF" w:rsidP="008037D1">
      <w:pPr>
        <w:pStyle w:val="Body"/>
      </w:pPr>
      <w:r>
        <w:br w:type="page"/>
      </w:r>
    </w:p>
    <w:p w14:paraId="45E14BD1" w14:textId="4A0F25BD" w:rsidR="00E30AE6" w:rsidRPr="00E30AE6" w:rsidRDefault="00E30AE6" w:rsidP="008037D1">
      <w:pPr>
        <w:pStyle w:val="Heading2"/>
        <w:numPr>
          <w:ilvl w:val="1"/>
          <w:numId w:val="91"/>
        </w:numPr>
        <w:rPr>
          <w:rFonts w:eastAsia="Times"/>
        </w:rPr>
      </w:pPr>
      <w:bookmarkStart w:id="49" w:name="_Toc137566826"/>
      <w:bookmarkStart w:id="50" w:name="_Toc137721906"/>
      <w:bookmarkStart w:id="51" w:name="_Toc137727408"/>
      <w:bookmarkStart w:id="52" w:name="_Toc138239121"/>
      <w:bookmarkEnd w:id="49"/>
      <w:bookmarkEnd w:id="50"/>
      <w:bookmarkEnd w:id="51"/>
      <w:r w:rsidRPr="00E30AE6">
        <w:rPr>
          <w:rFonts w:eastAsia="Times"/>
        </w:rPr>
        <w:t>Stationary fuel use</w:t>
      </w:r>
      <w:bookmarkEnd w:id="52"/>
    </w:p>
    <w:p w14:paraId="309059F1" w14:textId="7902F4B5" w:rsidR="00A1739E" w:rsidRDefault="00A1739E" w:rsidP="008037D1">
      <w:pPr>
        <w:pStyle w:val="Tablecaption"/>
      </w:pPr>
      <w:r>
        <w:t xml:space="preserve">Table </w:t>
      </w:r>
      <w:fldSimple w:instr=" SEQ Table \* ARABIC ">
        <w:r w:rsidR="00C52465">
          <w:rPr>
            <w:noProof/>
          </w:rPr>
          <w:t>3</w:t>
        </w:r>
      </w:fldSimple>
      <w:r>
        <w:t>: Stationary fuel use indicators</w:t>
      </w:r>
    </w:p>
    <w:tbl>
      <w:tblPr>
        <w:tblStyle w:val="Bluetable"/>
        <w:tblW w:w="9644" w:type="dxa"/>
        <w:tblInd w:w="5" w:type="dxa"/>
        <w:tblLook w:val="04A0" w:firstRow="1" w:lastRow="0" w:firstColumn="1" w:lastColumn="0" w:noHBand="0" w:noVBand="1"/>
      </w:tblPr>
      <w:tblGrid>
        <w:gridCol w:w="1555"/>
        <w:gridCol w:w="3543"/>
        <w:gridCol w:w="3261"/>
        <w:gridCol w:w="1285"/>
      </w:tblGrid>
      <w:tr w:rsidR="00E30AE6" w:rsidRPr="00CC763F" w14:paraId="571E4997" w14:textId="77777777" w:rsidTr="00940AA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555" w:type="dxa"/>
          </w:tcPr>
          <w:p w14:paraId="6F2677BA" w14:textId="77777777" w:rsidR="00E30AE6" w:rsidRPr="008037D1" w:rsidRDefault="00E30AE6" w:rsidP="008037D1">
            <w:pPr>
              <w:pStyle w:val="Tablecolhead"/>
              <w:rPr>
                <w:rFonts w:eastAsia="Times"/>
                <w:lang w:val="en-AU"/>
              </w:rPr>
            </w:pPr>
            <w:r w:rsidRPr="00227074">
              <w:rPr>
                <w:rFonts w:eastAsia="Times"/>
              </w:rPr>
              <w:t>Indicator</w:t>
            </w:r>
          </w:p>
        </w:tc>
        <w:tc>
          <w:tcPr>
            <w:tcW w:w="3543" w:type="dxa"/>
          </w:tcPr>
          <w:p w14:paraId="31CBFC81"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Segmentation</w:t>
            </w:r>
          </w:p>
        </w:tc>
        <w:tc>
          <w:tcPr>
            <w:tcW w:w="3261" w:type="dxa"/>
          </w:tcPr>
          <w:p w14:paraId="79A2A3EC"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Data sources</w:t>
            </w:r>
          </w:p>
        </w:tc>
        <w:tc>
          <w:tcPr>
            <w:tcW w:w="1285" w:type="dxa"/>
          </w:tcPr>
          <w:p w14:paraId="6F778460" w14:textId="6216FE0C" w:rsidR="00E30AE6" w:rsidRPr="008037D1" w:rsidRDefault="00420A8B"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Pr>
                <w:rFonts w:eastAsia="Times"/>
              </w:rPr>
              <w:t>Tier</w:t>
            </w:r>
          </w:p>
        </w:tc>
      </w:tr>
      <w:tr w:rsidR="00E30AE6" w:rsidRPr="00CC763F" w14:paraId="55AC313B" w14:textId="77777777" w:rsidTr="00940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FA034B" w14:textId="22D619BB" w:rsidR="00E30AE6" w:rsidRPr="008037D1" w:rsidRDefault="00E30AE6" w:rsidP="008037D1">
            <w:pPr>
              <w:pStyle w:val="Tabletext"/>
              <w:rPr>
                <w:rFonts w:eastAsia="Times"/>
                <w:lang w:val="en-AU"/>
              </w:rPr>
            </w:pPr>
            <w:r w:rsidRPr="00CC763F">
              <w:rPr>
                <w:rFonts w:eastAsia="Times"/>
                <w:b/>
              </w:rPr>
              <w:t>F1</w:t>
            </w:r>
            <w:r w:rsidR="00EA381D" w:rsidRPr="00CC763F">
              <w:rPr>
                <w:rFonts w:eastAsia="Times"/>
              </w:rPr>
              <w:t xml:space="preserve">: </w:t>
            </w:r>
            <w:r w:rsidRPr="00CC763F">
              <w:rPr>
                <w:rFonts w:eastAsia="Times"/>
              </w:rPr>
              <w:t>Total fuels used in</w:t>
            </w:r>
            <w:r w:rsidR="00EA381D" w:rsidRPr="00CC763F">
              <w:rPr>
                <w:rFonts w:eastAsia="Times"/>
              </w:rPr>
              <w:t xml:space="preserve"> </w:t>
            </w:r>
            <w:r w:rsidRPr="00CC763F">
              <w:rPr>
                <w:rFonts w:eastAsia="Times"/>
              </w:rPr>
              <w:t>buildings and machinery (MJ)</w:t>
            </w:r>
          </w:p>
          <w:p w14:paraId="755D1B20" w14:textId="1833E991" w:rsidR="00E30AE6" w:rsidRPr="008037D1" w:rsidRDefault="00E30AE6" w:rsidP="008037D1">
            <w:pPr>
              <w:pStyle w:val="Tablebullet1"/>
              <w:rPr>
                <w:rFonts w:eastAsia="Times"/>
                <w:lang w:val="en-AU"/>
              </w:rPr>
            </w:pPr>
            <w:r w:rsidRPr="00CC763F">
              <w:rPr>
                <w:rFonts w:eastAsia="Times"/>
              </w:rPr>
              <w:t>Reported through the EDMS</w:t>
            </w:r>
          </w:p>
        </w:tc>
        <w:tc>
          <w:tcPr>
            <w:tcW w:w="3543" w:type="dxa"/>
          </w:tcPr>
          <w:p w14:paraId="0FE69463" w14:textId="1A941A1F"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CC763F">
              <w:rPr>
                <w:rFonts w:eastAsia="Times"/>
              </w:rPr>
              <w:t>Segmented by</w:t>
            </w:r>
            <w:r w:rsidR="00EA381D" w:rsidRPr="00CC763F">
              <w:rPr>
                <w:rFonts w:eastAsia="Times"/>
              </w:rPr>
              <w:t xml:space="preserve"> </w:t>
            </w:r>
            <w:r w:rsidRPr="00CC763F">
              <w:rPr>
                <w:rFonts w:eastAsia="Times"/>
              </w:rPr>
              <w:t xml:space="preserve">asset (buildings and machinery) and fuel type. Use </w:t>
            </w:r>
            <w:r w:rsidR="002E7799" w:rsidRPr="00CC763F">
              <w:rPr>
                <w:rFonts w:eastAsia="Times"/>
                <w:lang w:val="en-AU"/>
              </w:rPr>
              <w:t xml:space="preserve">the </w:t>
            </w:r>
            <w:r w:rsidRPr="00CC763F">
              <w:rPr>
                <w:rFonts w:eastAsia="Times"/>
              </w:rPr>
              <w:t>following fuel types as applicable:</w:t>
            </w:r>
          </w:p>
          <w:p w14:paraId="1BD753E3" w14:textId="3EBAE4D0"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Natural </w:t>
            </w:r>
            <w:r w:rsidR="002E7799" w:rsidRPr="00CC763F">
              <w:rPr>
                <w:rFonts w:eastAsia="Times New Roman"/>
                <w:lang w:val="en-AU"/>
              </w:rPr>
              <w:t>g</w:t>
            </w:r>
            <w:r w:rsidR="002E7799" w:rsidRPr="008037D1">
              <w:rPr>
                <w:rFonts w:eastAsia="Times New Roman"/>
              </w:rPr>
              <w:t>as</w:t>
            </w:r>
          </w:p>
          <w:p w14:paraId="2EB9EE9A" w14:textId="54193E8D"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LPG</w:t>
            </w:r>
          </w:p>
          <w:p w14:paraId="2E035A32" w14:textId="1FB7772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Diesel</w:t>
            </w:r>
          </w:p>
          <w:p w14:paraId="51A7F83F" w14:textId="48C2919F"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Petrol</w:t>
            </w:r>
          </w:p>
          <w:p w14:paraId="33EB58B0" w14:textId="24CB37E5"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Hydrogen</w:t>
            </w:r>
          </w:p>
          <w:p w14:paraId="66B61C92" w14:textId="22E8D954"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Fuel </w:t>
            </w:r>
            <w:r w:rsidR="002E7799" w:rsidRPr="00CC763F">
              <w:rPr>
                <w:rFonts w:eastAsia="Times New Roman"/>
                <w:lang w:val="en-AU"/>
              </w:rPr>
              <w:t>o</w:t>
            </w:r>
            <w:r w:rsidR="002E7799" w:rsidRPr="008037D1">
              <w:rPr>
                <w:rFonts w:eastAsia="Times New Roman"/>
              </w:rPr>
              <w:t>il</w:t>
            </w:r>
          </w:p>
        </w:tc>
        <w:tc>
          <w:tcPr>
            <w:tcW w:w="3261" w:type="dxa"/>
          </w:tcPr>
          <w:p w14:paraId="7372F590" w14:textId="59E63638"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EDMS </w:t>
            </w:r>
            <w:r w:rsidR="002E7799" w:rsidRPr="008037D1">
              <w:rPr>
                <w:rFonts w:eastAsia="Times New Roman"/>
              </w:rPr>
              <w:t xml:space="preserve">can </w:t>
            </w:r>
            <w:r w:rsidRPr="008037D1">
              <w:rPr>
                <w:rFonts w:eastAsia="Times New Roman"/>
              </w:rPr>
              <w:t>upload this data for natural gas and LPG (depending on your accounts)</w:t>
            </w:r>
          </w:p>
          <w:p w14:paraId="1C437E11" w14:textId="6F2AA268"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Natural gas or LPG retailer billing </w:t>
            </w:r>
            <w:r w:rsidR="002E7799" w:rsidRPr="008037D1">
              <w:rPr>
                <w:rFonts w:eastAsia="Times New Roman"/>
              </w:rPr>
              <w:t xml:space="preserve">or </w:t>
            </w:r>
            <w:r w:rsidRPr="008037D1">
              <w:rPr>
                <w:rFonts w:eastAsia="Times New Roman"/>
              </w:rPr>
              <w:t>invoices</w:t>
            </w:r>
          </w:p>
          <w:p w14:paraId="64480340" w14:textId="51A5657E"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Bulk fuel supplier billing </w:t>
            </w:r>
            <w:r w:rsidR="002E7799" w:rsidRPr="008037D1">
              <w:rPr>
                <w:rFonts w:eastAsia="Times New Roman"/>
              </w:rPr>
              <w:t xml:space="preserve">or </w:t>
            </w:r>
            <w:r w:rsidRPr="008037D1">
              <w:rPr>
                <w:rFonts w:eastAsia="Times New Roman"/>
              </w:rPr>
              <w:t>invoices</w:t>
            </w:r>
          </w:p>
          <w:p w14:paraId="39B1AD7B" w14:textId="51337A66"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Solid fuel supplier billing </w:t>
            </w:r>
            <w:r w:rsidR="002E7799" w:rsidRPr="008037D1">
              <w:rPr>
                <w:rFonts w:eastAsia="Times New Roman"/>
              </w:rPr>
              <w:t xml:space="preserve">or </w:t>
            </w:r>
            <w:r w:rsidRPr="008037D1">
              <w:rPr>
                <w:rFonts w:eastAsia="Times New Roman"/>
              </w:rPr>
              <w:t>invoices</w:t>
            </w:r>
          </w:p>
          <w:p w14:paraId="70590B7E" w14:textId="7777777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CC763F">
              <w:rPr>
                <w:rFonts w:eastAsia="Times"/>
              </w:rPr>
              <w:t>Bulk fuel tank gauge readings or manual dipstick readings</w:t>
            </w:r>
          </w:p>
        </w:tc>
        <w:tc>
          <w:tcPr>
            <w:tcW w:w="1285" w:type="dxa"/>
          </w:tcPr>
          <w:p w14:paraId="231AC960" w14:textId="71DDCEF6"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CC763F">
              <w:rPr>
                <w:rFonts w:eastAsia="Times"/>
              </w:rPr>
              <w:t>Tier</w:t>
            </w:r>
            <w:r w:rsidR="00A8366F" w:rsidRPr="00CC763F">
              <w:rPr>
                <w:rFonts w:eastAsia="Times"/>
              </w:rPr>
              <w:t>s</w:t>
            </w:r>
            <w:r w:rsidRPr="00CC763F">
              <w:rPr>
                <w:rFonts w:eastAsia="Times"/>
              </w:rPr>
              <w:t xml:space="preserve"> 2 and 3a</w:t>
            </w:r>
          </w:p>
        </w:tc>
      </w:tr>
      <w:tr w:rsidR="00E30AE6" w:rsidRPr="00CC763F" w14:paraId="54A3AAB8" w14:textId="77777777" w:rsidTr="00940A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E9779B" w14:textId="5949A7F9" w:rsidR="00E30AE6" w:rsidRPr="008037D1" w:rsidRDefault="00E30AE6" w:rsidP="008037D1">
            <w:pPr>
              <w:pStyle w:val="Tabletext"/>
              <w:rPr>
                <w:rFonts w:eastAsia="Times"/>
                <w:lang w:val="en-AU"/>
              </w:rPr>
            </w:pPr>
            <w:r w:rsidRPr="00CC763F">
              <w:rPr>
                <w:rFonts w:eastAsia="Times"/>
                <w:b/>
              </w:rPr>
              <w:t>F2</w:t>
            </w:r>
            <w:r w:rsidR="00EA381D" w:rsidRPr="00CC763F">
              <w:rPr>
                <w:rFonts w:eastAsia="Times"/>
              </w:rPr>
              <w:t xml:space="preserve">: </w:t>
            </w:r>
            <w:r w:rsidRPr="00CC763F">
              <w:rPr>
                <w:rFonts w:eastAsia="Times"/>
              </w:rPr>
              <w:t>Greenhouse gas emissions from stationary fuel consumption (</w:t>
            </w:r>
            <w:proofErr w:type="spellStart"/>
            <w:r w:rsidRPr="00CC763F">
              <w:rPr>
                <w:rFonts w:eastAsia="Times"/>
              </w:rPr>
              <w:t>tonnes</w:t>
            </w:r>
            <w:proofErr w:type="spellEnd"/>
            <w:r w:rsidRPr="00CC763F">
              <w:rPr>
                <w:rFonts w:eastAsia="Times"/>
              </w:rPr>
              <w:t xml:space="preserve"> CO</w:t>
            </w:r>
            <w:r w:rsidRPr="008037D1">
              <w:rPr>
                <w:rFonts w:eastAsia="Times"/>
                <w:vertAlign w:val="subscript"/>
              </w:rPr>
              <w:t>2</w:t>
            </w:r>
            <w:r w:rsidRPr="00CC763F">
              <w:rPr>
                <w:rFonts w:eastAsia="Times"/>
              </w:rPr>
              <w:t>-e)</w:t>
            </w:r>
          </w:p>
          <w:p w14:paraId="1C9E409D" w14:textId="06F0E524" w:rsidR="00E30AE6" w:rsidRPr="008037D1" w:rsidRDefault="00E30AE6" w:rsidP="008037D1">
            <w:pPr>
              <w:pStyle w:val="Tablebullet1"/>
              <w:rPr>
                <w:rFonts w:eastAsia="Times"/>
                <w:lang w:val="en-AU"/>
              </w:rPr>
            </w:pPr>
            <w:r w:rsidRPr="00CC763F">
              <w:rPr>
                <w:rFonts w:eastAsia="Times"/>
              </w:rPr>
              <w:t>Reported through the EDMS</w:t>
            </w:r>
          </w:p>
        </w:tc>
        <w:tc>
          <w:tcPr>
            <w:tcW w:w="3543" w:type="dxa"/>
          </w:tcPr>
          <w:p w14:paraId="63A2AFAA" w14:textId="62935025" w:rsidR="00D033D0" w:rsidRPr="008037D1" w:rsidRDefault="00E30AE6">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lang w:val="en-AU"/>
              </w:rPr>
              <w:t xml:space="preserve">Segmented by fuel type – use the same segmentation as </w:t>
            </w:r>
            <w:r w:rsidRPr="008037D1">
              <w:rPr>
                <w:rFonts w:eastAsia="Times"/>
                <w:b/>
                <w:bCs/>
                <w:lang w:val="en-AU"/>
              </w:rPr>
              <w:t>F1</w:t>
            </w:r>
            <w:r w:rsidRPr="008037D1">
              <w:rPr>
                <w:rFonts w:eastAsia="Times"/>
                <w:lang w:val="en-AU"/>
              </w:rPr>
              <w:t>.</w:t>
            </w:r>
          </w:p>
          <w:p w14:paraId="7E218F90" w14:textId="487692E0"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CC763F">
              <w:rPr>
                <w:rFonts w:eastAsia="Times"/>
              </w:rPr>
              <w:t xml:space="preserve">Use </w:t>
            </w:r>
            <w:r w:rsidR="00D033D0" w:rsidRPr="00CC763F">
              <w:rPr>
                <w:rFonts w:eastAsia="Times"/>
              </w:rPr>
              <w:t xml:space="preserve">the </w:t>
            </w:r>
            <w:r w:rsidRPr="00CC763F">
              <w:rPr>
                <w:rFonts w:eastAsia="Times"/>
              </w:rPr>
              <w:t>following fuel types as applicable:</w:t>
            </w:r>
          </w:p>
          <w:p w14:paraId="688D80EB" w14:textId="07ED89C0"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Natural </w:t>
            </w:r>
            <w:r w:rsidR="00D033D0" w:rsidRPr="008037D1">
              <w:rPr>
                <w:rFonts w:eastAsia="Times New Roman"/>
              </w:rPr>
              <w:t>gas</w:t>
            </w:r>
          </w:p>
          <w:p w14:paraId="1797B015" w14:textId="07B475E0"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LPG</w:t>
            </w:r>
          </w:p>
          <w:p w14:paraId="314AE102" w14:textId="01CB271F"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Diesel</w:t>
            </w:r>
          </w:p>
          <w:p w14:paraId="20A6D93A" w14:textId="6F62EB58"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Petrol</w:t>
            </w:r>
          </w:p>
          <w:p w14:paraId="3BE85532" w14:textId="5322F81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Hydrogen</w:t>
            </w:r>
          </w:p>
          <w:p w14:paraId="5B1931CF" w14:textId="3ECA2D38"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Solid </w:t>
            </w:r>
            <w:r w:rsidR="00D033D0" w:rsidRPr="008037D1">
              <w:rPr>
                <w:rFonts w:eastAsia="Times New Roman"/>
              </w:rPr>
              <w:t>fuel</w:t>
            </w:r>
          </w:p>
          <w:p w14:paraId="7098B973" w14:textId="6D358619"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Fuel </w:t>
            </w:r>
            <w:r w:rsidR="00D033D0" w:rsidRPr="008037D1">
              <w:rPr>
                <w:rFonts w:eastAsia="Times New Roman"/>
              </w:rPr>
              <w:t>oil</w:t>
            </w:r>
          </w:p>
        </w:tc>
        <w:tc>
          <w:tcPr>
            <w:tcW w:w="3261" w:type="dxa"/>
          </w:tcPr>
          <w:p w14:paraId="2E0F5628"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CC763F">
              <w:rPr>
                <w:rFonts w:eastAsia="Times"/>
              </w:rPr>
              <w:t>EDMS can calculate this data</w:t>
            </w:r>
          </w:p>
          <w:p w14:paraId="622D5BF6" w14:textId="2E53989C"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CC763F">
              <w:rPr>
                <w:rFonts w:eastAsia="Times"/>
              </w:rPr>
              <w:t xml:space="preserve">Use the latest </w:t>
            </w:r>
            <w:r w:rsidR="001356D2" w:rsidRPr="00CC763F">
              <w:rPr>
                <w:rFonts w:eastAsia="Times"/>
              </w:rPr>
              <w:t>NGA factors</w:t>
            </w:r>
            <w:r w:rsidRPr="00CC763F">
              <w:rPr>
                <w:rFonts w:eastAsia="Times"/>
              </w:rPr>
              <w:t xml:space="preserve">. </w:t>
            </w:r>
            <w:r w:rsidR="00D033D0" w:rsidRPr="00CC763F">
              <w:rPr>
                <w:rFonts w:eastAsia="Times"/>
              </w:rPr>
              <w:t xml:space="preserve">Use the </w:t>
            </w:r>
            <w:r w:rsidRPr="00CC763F">
              <w:rPr>
                <w:rFonts w:eastAsia="Times"/>
              </w:rPr>
              <w:t xml:space="preserve">Scope 1 </w:t>
            </w:r>
            <w:r w:rsidR="00D033D0" w:rsidRPr="00CC763F">
              <w:rPr>
                <w:rFonts w:eastAsia="Times"/>
              </w:rPr>
              <w:t xml:space="preserve">combined gases </w:t>
            </w:r>
            <w:r w:rsidRPr="00CC763F">
              <w:rPr>
                <w:rFonts w:eastAsia="Times"/>
              </w:rPr>
              <w:t>figure</w:t>
            </w:r>
          </w:p>
        </w:tc>
        <w:tc>
          <w:tcPr>
            <w:tcW w:w="1285" w:type="dxa"/>
          </w:tcPr>
          <w:p w14:paraId="012DC9CF" w14:textId="7D27DE34"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CC763F">
              <w:rPr>
                <w:rFonts w:eastAsia="Times"/>
              </w:rPr>
              <w:t>Tier</w:t>
            </w:r>
            <w:r w:rsidR="00A8366F" w:rsidRPr="00CC763F">
              <w:rPr>
                <w:rFonts w:eastAsia="Times"/>
              </w:rPr>
              <w:t>s</w:t>
            </w:r>
            <w:r w:rsidRPr="00CC763F">
              <w:rPr>
                <w:rFonts w:eastAsia="Times"/>
              </w:rPr>
              <w:t xml:space="preserve"> 2 and 3a</w:t>
            </w:r>
          </w:p>
        </w:tc>
      </w:tr>
    </w:tbl>
    <w:p w14:paraId="76DDC9A4" w14:textId="77777777" w:rsidR="001D7BDF" w:rsidRDefault="001D7BDF" w:rsidP="008037D1">
      <w:pPr>
        <w:pStyle w:val="Body"/>
      </w:pPr>
      <w:bookmarkStart w:id="53" w:name="_Toc137566828"/>
      <w:bookmarkEnd w:id="53"/>
      <w:r>
        <w:br w:type="page"/>
      </w:r>
    </w:p>
    <w:p w14:paraId="04589AD5" w14:textId="6DE5F511" w:rsidR="00E30AE6" w:rsidRPr="00E30AE6" w:rsidRDefault="00E30AE6" w:rsidP="008037D1">
      <w:pPr>
        <w:pStyle w:val="Heading2"/>
        <w:numPr>
          <w:ilvl w:val="1"/>
          <w:numId w:val="91"/>
        </w:numPr>
        <w:rPr>
          <w:rFonts w:eastAsia="Times"/>
        </w:rPr>
      </w:pPr>
      <w:bookmarkStart w:id="54" w:name="_Toc137721908"/>
      <w:bookmarkStart w:id="55" w:name="_Toc137727410"/>
      <w:bookmarkStart w:id="56" w:name="_Ref137646335"/>
      <w:bookmarkStart w:id="57" w:name="_Toc138239122"/>
      <w:bookmarkEnd w:id="54"/>
      <w:bookmarkEnd w:id="55"/>
      <w:r w:rsidRPr="00E30AE6">
        <w:rPr>
          <w:rFonts w:eastAsia="Times"/>
        </w:rPr>
        <w:t>Transportation</w:t>
      </w:r>
      <w:bookmarkEnd w:id="56"/>
      <w:bookmarkEnd w:id="57"/>
    </w:p>
    <w:p w14:paraId="7190A8D1" w14:textId="62F4FFE7" w:rsidR="00A1739E" w:rsidRDefault="00A1739E" w:rsidP="008037D1">
      <w:pPr>
        <w:pStyle w:val="Tablecaption"/>
      </w:pPr>
      <w:r>
        <w:t xml:space="preserve">Table </w:t>
      </w:r>
      <w:fldSimple w:instr=" SEQ Table \* ARABIC ">
        <w:r w:rsidR="00C52465">
          <w:rPr>
            <w:noProof/>
          </w:rPr>
          <w:t>4</w:t>
        </w:r>
      </w:fldSimple>
      <w:r>
        <w:t>: Transportation indicators</w:t>
      </w:r>
    </w:p>
    <w:tbl>
      <w:tblPr>
        <w:tblStyle w:val="Bluetable"/>
        <w:tblW w:w="9643" w:type="dxa"/>
        <w:tblInd w:w="5" w:type="dxa"/>
        <w:tblLayout w:type="fixed"/>
        <w:tblLook w:val="04A0" w:firstRow="1" w:lastRow="0" w:firstColumn="1" w:lastColumn="0" w:noHBand="0" w:noVBand="1"/>
      </w:tblPr>
      <w:tblGrid>
        <w:gridCol w:w="1838"/>
        <w:gridCol w:w="3260"/>
        <w:gridCol w:w="3261"/>
        <w:gridCol w:w="1284"/>
      </w:tblGrid>
      <w:tr w:rsidR="00760913" w:rsidRPr="00A1739E" w14:paraId="2863341B" w14:textId="77777777" w:rsidTr="0016005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838" w:type="dxa"/>
          </w:tcPr>
          <w:p w14:paraId="563887A3" w14:textId="77777777" w:rsidR="00E30AE6" w:rsidRPr="008037D1" w:rsidRDefault="00E30AE6" w:rsidP="008037D1">
            <w:pPr>
              <w:pStyle w:val="Tablecolhead"/>
              <w:rPr>
                <w:rFonts w:eastAsia="Times"/>
                <w:lang w:val="en-AU"/>
              </w:rPr>
            </w:pPr>
            <w:r w:rsidRPr="00227074">
              <w:rPr>
                <w:rFonts w:eastAsia="Times"/>
              </w:rPr>
              <w:t>Indicator</w:t>
            </w:r>
          </w:p>
        </w:tc>
        <w:tc>
          <w:tcPr>
            <w:tcW w:w="3260" w:type="dxa"/>
          </w:tcPr>
          <w:p w14:paraId="51B86323"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Segmentation</w:t>
            </w:r>
          </w:p>
        </w:tc>
        <w:tc>
          <w:tcPr>
            <w:tcW w:w="3261" w:type="dxa"/>
          </w:tcPr>
          <w:p w14:paraId="29C01746"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Data sources</w:t>
            </w:r>
          </w:p>
        </w:tc>
        <w:tc>
          <w:tcPr>
            <w:tcW w:w="1284" w:type="dxa"/>
          </w:tcPr>
          <w:p w14:paraId="49499EF0" w14:textId="43588901" w:rsidR="00E30AE6" w:rsidRPr="008037D1" w:rsidRDefault="002C33BD"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Pr>
                <w:rFonts w:eastAsia="Times"/>
              </w:rPr>
              <w:t>T</w:t>
            </w:r>
            <w:r w:rsidR="00E30AE6" w:rsidRPr="00227074">
              <w:rPr>
                <w:rFonts w:eastAsia="Times"/>
              </w:rPr>
              <w:t>ier</w:t>
            </w:r>
          </w:p>
        </w:tc>
      </w:tr>
      <w:tr w:rsidR="00760913" w:rsidRPr="00A1739E" w14:paraId="6410E67F" w14:textId="77777777" w:rsidTr="00160059">
        <w:trPr>
          <w:cnfStyle w:val="000000100000" w:firstRow="0" w:lastRow="0" w:firstColumn="0" w:lastColumn="0" w:oddVBand="0" w:evenVBand="0" w:oddHBand="1" w:evenHBand="0" w:firstRowFirstColumn="0" w:firstRowLastColumn="0" w:lastRowFirstColumn="0" w:lastRowLastColumn="0"/>
          <w:trHeight w:val="4711"/>
        </w:trPr>
        <w:tc>
          <w:tcPr>
            <w:cnfStyle w:val="001000000000" w:firstRow="0" w:lastRow="0" w:firstColumn="1" w:lastColumn="0" w:oddVBand="0" w:evenVBand="0" w:oddHBand="0" w:evenHBand="0" w:firstRowFirstColumn="0" w:firstRowLastColumn="0" w:lastRowFirstColumn="0" w:lastRowLastColumn="0"/>
            <w:tcW w:w="1838" w:type="dxa"/>
          </w:tcPr>
          <w:p w14:paraId="00D2BE43" w14:textId="56AE74EC" w:rsidR="00E30AE6" w:rsidRPr="008037D1" w:rsidRDefault="00E30AE6" w:rsidP="008037D1">
            <w:pPr>
              <w:pStyle w:val="Tabletext"/>
              <w:rPr>
                <w:rFonts w:eastAsia="Times"/>
                <w:lang w:val="en-AU"/>
              </w:rPr>
            </w:pPr>
            <w:r w:rsidRPr="00A1739E">
              <w:rPr>
                <w:rFonts w:eastAsia="Times"/>
                <w:b/>
              </w:rPr>
              <w:t>T1</w:t>
            </w:r>
            <w:r w:rsidR="00EA381D" w:rsidRPr="00A1739E">
              <w:rPr>
                <w:rFonts w:eastAsia="Times"/>
              </w:rPr>
              <w:t xml:space="preserve">: </w:t>
            </w:r>
            <w:r w:rsidRPr="00A1739E">
              <w:rPr>
                <w:rFonts w:eastAsia="Times"/>
              </w:rPr>
              <w:t>Total energy used in transportation within the entity (in MJ or MWh)</w:t>
            </w:r>
          </w:p>
          <w:p w14:paraId="2FD9CAA3" w14:textId="0CA14EBB" w:rsidR="00E30AE6" w:rsidRPr="008037D1" w:rsidRDefault="00E30AE6" w:rsidP="008037D1">
            <w:pPr>
              <w:pStyle w:val="Tablebullet1"/>
              <w:rPr>
                <w:rFonts w:eastAsia="Times"/>
                <w:lang w:val="en-AU"/>
              </w:rPr>
            </w:pPr>
            <w:r w:rsidRPr="00A1739E">
              <w:rPr>
                <w:rFonts w:eastAsia="Times"/>
              </w:rPr>
              <w:t>Reported through the EDMS</w:t>
            </w:r>
          </w:p>
        </w:tc>
        <w:tc>
          <w:tcPr>
            <w:tcW w:w="3260" w:type="dxa"/>
          </w:tcPr>
          <w:p w14:paraId="513F8ED4" w14:textId="77777777"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8037D1">
              <w:rPr>
                <w:rFonts w:eastAsia="Times"/>
                <w:b/>
                <w:bCs/>
              </w:rPr>
              <w:t>Vehicle category segmentation</w:t>
            </w:r>
            <w:r w:rsidRPr="00A1739E">
              <w:rPr>
                <w:rFonts w:eastAsia="Times"/>
              </w:rPr>
              <w:t>:</w:t>
            </w:r>
          </w:p>
          <w:p w14:paraId="0E574887" w14:textId="5F54F5C9"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Road vehicles</w:t>
            </w:r>
          </w:p>
          <w:p w14:paraId="4586153F" w14:textId="309E7DE1"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Non-road vehicles</w:t>
            </w:r>
          </w:p>
          <w:p w14:paraId="43E9E030" w14:textId="373E04F5"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This is the minimum required segmentation</w:t>
            </w:r>
            <w:r w:rsidR="00760913">
              <w:rPr>
                <w:rFonts w:eastAsia="Times"/>
                <w:lang w:val="en-AU"/>
              </w:rPr>
              <w:t>.</w:t>
            </w:r>
            <w:r w:rsidRPr="00A1739E">
              <w:rPr>
                <w:rFonts w:eastAsia="Times"/>
              </w:rPr>
              <w:t xml:space="preserve"> </w:t>
            </w:r>
            <w:r w:rsidR="00760913">
              <w:rPr>
                <w:rFonts w:eastAsia="Times"/>
                <w:lang w:val="en-AU"/>
              </w:rPr>
              <w:t>I</w:t>
            </w:r>
            <w:r w:rsidR="00760913" w:rsidRPr="00A1739E">
              <w:rPr>
                <w:rFonts w:eastAsia="Times"/>
              </w:rPr>
              <w:t xml:space="preserve">f </w:t>
            </w:r>
            <w:r w:rsidRPr="00A1739E">
              <w:rPr>
                <w:rFonts w:eastAsia="Times"/>
              </w:rPr>
              <w:t>data is available</w:t>
            </w:r>
            <w:r w:rsidR="00760913">
              <w:rPr>
                <w:rFonts w:eastAsia="Times"/>
                <w:lang w:val="en-AU"/>
              </w:rPr>
              <w:t>,</w:t>
            </w:r>
            <w:r w:rsidRPr="00A1739E">
              <w:rPr>
                <w:rFonts w:eastAsia="Times"/>
              </w:rPr>
              <w:t xml:space="preserve"> you should segment using the categories in </w:t>
            </w:r>
            <w:r w:rsidRPr="008037D1">
              <w:rPr>
                <w:rStyle w:val="Strong"/>
                <w:rFonts w:eastAsia="Times New Roman"/>
              </w:rPr>
              <w:t>T2</w:t>
            </w:r>
            <w:r w:rsidR="00760913" w:rsidRPr="008037D1">
              <w:t>.</w:t>
            </w:r>
          </w:p>
          <w:p w14:paraId="7E4A6428" w14:textId="77777777" w:rsidR="00E30AE6" w:rsidRPr="008037D1" w:rsidRDefault="00E30AE6" w:rsidP="008037D1">
            <w:pPr>
              <w:pStyle w:val="Tabletextafterbullets"/>
              <w:cnfStyle w:val="000000100000" w:firstRow="0" w:lastRow="0" w:firstColumn="0" w:lastColumn="0" w:oddVBand="0" w:evenVBand="0" w:oddHBand="1" w:evenHBand="0" w:firstRowFirstColumn="0" w:firstRowLastColumn="0" w:lastRowFirstColumn="0" w:lastRowLastColumn="0"/>
              <w:rPr>
                <w:rFonts w:eastAsia="Times"/>
                <w:lang w:val="en-AU"/>
              </w:rPr>
            </w:pPr>
            <w:r w:rsidRPr="008037D1">
              <w:rPr>
                <w:rFonts w:eastAsia="Times"/>
                <w:b/>
                <w:bCs w:val="0"/>
              </w:rPr>
              <w:t>Fuel type segmentation</w:t>
            </w:r>
            <w:r w:rsidRPr="00227074">
              <w:rPr>
                <w:rFonts w:eastAsia="Times"/>
              </w:rPr>
              <w:t>:</w:t>
            </w:r>
          </w:p>
          <w:p w14:paraId="06F140C1" w14:textId="3A8E8B4F"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Petrol (divide further if data is available)</w:t>
            </w:r>
          </w:p>
          <w:p w14:paraId="704DE714" w14:textId="62E1B245"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Diesel</w:t>
            </w:r>
          </w:p>
          <w:p w14:paraId="77A6E897" w14:textId="55505901"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Biodiesel</w:t>
            </w:r>
          </w:p>
          <w:p w14:paraId="5935F2A6" w14:textId="1CB0D6DC"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LPG</w:t>
            </w:r>
          </w:p>
          <w:p w14:paraId="05AAA5A5" w14:textId="6150EED0"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Aviation fuels (including </w:t>
            </w:r>
            <w:r w:rsidR="00760913">
              <w:rPr>
                <w:lang w:val="en-AU"/>
              </w:rPr>
              <w:t>a</w:t>
            </w:r>
            <w:proofErr w:type="spellStart"/>
            <w:r w:rsidRPr="008037D1">
              <w:rPr>
                <w:rFonts w:eastAsia="Times New Roman"/>
              </w:rPr>
              <w:t>vgas</w:t>
            </w:r>
            <w:proofErr w:type="spellEnd"/>
            <w:r w:rsidRPr="008037D1">
              <w:rPr>
                <w:rFonts w:eastAsia="Times New Roman"/>
              </w:rPr>
              <w:t xml:space="preserve"> and ATF)</w:t>
            </w:r>
          </w:p>
          <w:p w14:paraId="7EA16E86" w14:textId="32678CD4"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Solid fuel</w:t>
            </w:r>
          </w:p>
          <w:p w14:paraId="121A04BE" w14:textId="473C6027"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Hydrogen</w:t>
            </w:r>
          </w:p>
          <w:p w14:paraId="0B349C75" w14:textId="00745A92"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Electricity</w:t>
            </w:r>
          </w:p>
        </w:tc>
        <w:tc>
          <w:tcPr>
            <w:tcW w:w="3261" w:type="dxa"/>
          </w:tcPr>
          <w:p w14:paraId="7AC31DDF" w14:textId="2387C0A2" w:rsidR="00B80E47" w:rsidRPr="00B80E47" w:rsidRDefault="00B80E47" w:rsidP="00B80E47">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EDMS can upload this data (once the </w:t>
            </w:r>
            <w:r>
              <w:rPr>
                <w:rFonts w:eastAsia="Times"/>
                <w:lang w:val="en-AU"/>
              </w:rPr>
              <w:t xml:space="preserve">department </w:t>
            </w:r>
            <w:r w:rsidRPr="00025C1F">
              <w:rPr>
                <w:rFonts w:eastAsia="Times"/>
              </w:rPr>
              <w:t>collate</w:t>
            </w:r>
            <w:r>
              <w:rPr>
                <w:rFonts w:eastAsia="Times"/>
                <w:lang w:val="en-AU"/>
              </w:rPr>
              <w:t>s</w:t>
            </w:r>
            <w:r w:rsidRPr="00025C1F">
              <w:rPr>
                <w:rFonts w:eastAsia="Times"/>
              </w:rPr>
              <w:t xml:space="preserve"> and </w:t>
            </w:r>
            <w:r>
              <w:rPr>
                <w:rFonts w:eastAsia="Times"/>
                <w:lang w:val="en-AU"/>
              </w:rPr>
              <w:t xml:space="preserve">adds it </w:t>
            </w:r>
            <w:r w:rsidRPr="00025C1F">
              <w:rPr>
                <w:rFonts w:eastAsia="Times"/>
              </w:rPr>
              <w:t>to the system)</w:t>
            </w:r>
          </w:p>
          <w:p w14:paraId="5EA2B57E" w14:textId="77777777" w:rsidR="003269EE"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Fuel card providers, including online data portals</w:t>
            </w:r>
          </w:p>
          <w:p w14:paraId="756CB881" w14:textId="77777777" w:rsidR="003269EE"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Bulk fuel purchase invoices</w:t>
            </w:r>
          </w:p>
          <w:p w14:paraId="5CF44937" w14:textId="56B7B46D"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Vehicle logbooks</w:t>
            </w:r>
            <w:r w:rsidR="003C26CB">
              <w:rPr>
                <w:rFonts w:eastAsia="Times New Roman"/>
                <w:lang w:val="en-AU"/>
              </w:rPr>
              <w:t xml:space="preserve"> or </w:t>
            </w:r>
            <w:r w:rsidRPr="008037D1">
              <w:rPr>
                <w:rFonts w:eastAsia="Times New Roman"/>
              </w:rPr>
              <w:t>odometer readings and average fuel consumption from ADR 80/01.</w:t>
            </w:r>
          </w:p>
        </w:tc>
        <w:tc>
          <w:tcPr>
            <w:tcW w:w="1284" w:type="dxa"/>
          </w:tcPr>
          <w:p w14:paraId="22A9B852" w14:textId="325830A0"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r w:rsidR="00760913" w:rsidRPr="00A1739E" w14:paraId="22159864" w14:textId="77777777" w:rsidTr="001600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76785A1" w14:textId="22E36A9D" w:rsidR="00E30AE6" w:rsidRPr="008037D1" w:rsidRDefault="00E30AE6" w:rsidP="008037D1">
            <w:pPr>
              <w:pStyle w:val="Tabletext"/>
              <w:rPr>
                <w:rFonts w:eastAsia="Times"/>
                <w:lang w:val="en-AU"/>
              </w:rPr>
            </w:pPr>
            <w:r w:rsidRPr="00A1739E">
              <w:rPr>
                <w:rFonts w:eastAsia="Times"/>
                <w:b/>
              </w:rPr>
              <w:t>T2</w:t>
            </w:r>
            <w:r w:rsidR="00EA381D" w:rsidRPr="00A1739E">
              <w:rPr>
                <w:rFonts w:eastAsia="Times"/>
              </w:rPr>
              <w:t xml:space="preserve">: </w:t>
            </w:r>
            <w:r w:rsidRPr="00A1739E">
              <w:rPr>
                <w:rFonts w:eastAsia="Times"/>
              </w:rPr>
              <w:t xml:space="preserve">Number and proportion of vehicles in </w:t>
            </w:r>
            <w:proofErr w:type="spellStart"/>
            <w:r w:rsidRPr="00A1739E">
              <w:rPr>
                <w:rFonts w:eastAsia="Times"/>
              </w:rPr>
              <w:t>organisational</w:t>
            </w:r>
            <w:proofErr w:type="spellEnd"/>
            <w:r w:rsidRPr="00A1739E">
              <w:rPr>
                <w:rFonts w:eastAsia="Times"/>
              </w:rPr>
              <w:t xml:space="preserve"> boundary</w:t>
            </w:r>
          </w:p>
          <w:p w14:paraId="23248AA9" w14:textId="63571117" w:rsidR="003A3948" w:rsidRPr="008037D1" w:rsidRDefault="00EA381D" w:rsidP="008037D1">
            <w:pPr>
              <w:pStyle w:val="Tablebullet1"/>
              <w:rPr>
                <w:lang w:val="en-AU"/>
              </w:rPr>
            </w:pPr>
            <w:r w:rsidRPr="008037D1">
              <w:rPr>
                <w:rStyle w:val="Strong"/>
                <w:rFonts w:eastAsia="Times New Roman"/>
              </w:rPr>
              <w:t>Not</w:t>
            </w:r>
            <w:r w:rsidRPr="008037D1">
              <w:rPr>
                <w:rFonts w:eastAsia="Times New Roman"/>
              </w:rPr>
              <w:t xml:space="preserve"> </w:t>
            </w:r>
            <w:r w:rsidR="003A3948" w:rsidRPr="008037D1">
              <w:rPr>
                <w:rFonts w:eastAsia="Times New Roman"/>
              </w:rPr>
              <w:t>reported through the EDMS</w:t>
            </w:r>
          </w:p>
          <w:p w14:paraId="5EBA94A3" w14:textId="1E377E38" w:rsidR="00E30AE6" w:rsidRPr="008037D1" w:rsidRDefault="00760913" w:rsidP="008037D1">
            <w:pPr>
              <w:pStyle w:val="Tablebullet1"/>
              <w:rPr>
                <w:rFonts w:eastAsia="Times"/>
                <w:lang w:val="en-AU"/>
              </w:rPr>
            </w:pPr>
            <w:r>
              <w:rPr>
                <w:rFonts w:eastAsia="Times"/>
                <w:lang w:val="en-AU"/>
              </w:rPr>
              <w:t xml:space="preserve">Must </w:t>
            </w:r>
            <w:r w:rsidR="00E30AE6" w:rsidRPr="00A1739E">
              <w:rPr>
                <w:rFonts w:eastAsia="Times"/>
              </w:rPr>
              <w:t>be reported independently by entities</w:t>
            </w:r>
          </w:p>
        </w:tc>
        <w:tc>
          <w:tcPr>
            <w:tcW w:w="3260" w:type="dxa"/>
          </w:tcPr>
          <w:p w14:paraId="36E525F4" w14:textId="51F1DC2C"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b/>
                <w:bCs/>
              </w:rPr>
              <w:t>Vehicle category segmentation</w:t>
            </w:r>
            <w:r w:rsidR="00E72F87" w:rsidRPr="00A1739E">
              <w:rPr>
                <w:rFonts w:eastAsia="Times"/>
                <w:b/>
                <w:bCs/>
              </w:rPr>
              <w:t>:</w:t>
            </w:r>
          </w:p>
          <w:p w14:paraId="0FEDDB55" w14:textId="2F4C114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Road vehicles</w:t>
            </w:r>
            <w:r w:rsidR="00EA381D" w:rsidRPr="008037D1">
              <w:rPr>
                <w:rFonts w:eastAsia="Times New Roman"/>
              </w:rPr>
              <w:t>:</w:t>
            </w:r>
          </w:p>
          <w:p w14:paraId="33040F9D" w14:textId="25E086F0"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Two wheeled vehicles</w:t>
            </w:r>
          </w:p>
          <w:p w14:paraId="3DD7DBAB" w14:textId="4A089770"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Passenger vehicles</w:t>
            </w:r>
          </w:p>
          <w:p w14:paraId="1D12FC99" w14:textId="179A9EB0"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Buses</w:t>
            </w:r>
          </w:p>
          <w:p w14:paraId="7C714C60" w14:textId="04DFDBBD"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Goods vehicles</w:t>
            </w:r>
          </w:p>
          <w:p w14:paraId="218BF411" w14:textId="4ABCDB95"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Non-road vehicles</w:t>
            </w:r>
            <w:r w:rsidR="00EA381D" w:rsidRPr="008037D1">
              <w:rPr>
                <w:rFonts w:eastAsia="Times New Roman"/>
              </w:rPr>
              <w:t>:</w:t>
            </w:r>
          </w:p>
          <w:p w14:paraId="111EE6F4" w14:textId="53BD60D4"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Marine vessels</w:t>
            </w:r>
          </w:p>
          <w:p w14:paraId="698EC9A6" w14:textId="0A3A6DF8"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Rotary wing aircraft</w:t>
            </w:r>
          </w:p>
          <w:p w14:paraId="25DAC930" w14:textId="56B5645B"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Fixed wing aircraft</w:t>
            </w:r>
          </w:p>
          <w:p w14:paraId="5564EEC8" w14:textId="6CA7C664"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Other</w:t>
            </w:r>
          </w:p>
          <w:p w14:paraId="1C295F47" w14:textId="469855CE" w:rsidR="00E30AE6" w:rsidRPr="008037D1" w:rsidRDefault="00E30AE6" w:rsidP="008037D1">
            <w:pPr>
              <w:pStyle w:val="Tabletextafterbullets"/>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b/>
                <w:bCs w:val="0"/>
              </w:rPr>
              <w:t>Engine</w:t>
            </w:r>
            <w:r w:rsidR="003C26CB">
              <w:rPr>
                <w:rFonts w:eastAsia="Times"/>
                <w:b/>
                <w:bCs w:val="0"/>
                <w:lang w:val="en-AU"/>
              </w:rPr>
              <w:t xml:space="preserve"> or </w:t>
            </w:r>
            <w:r w:rsidRPr="008037D1">
              <w:rPr>
                <w:rFonts w:eastAsia="Times"/>
                <w:b/>
                <w:bCs w:val="0"/>
              </w:rPr>
              <w:t>fuel type segmentation</w:t>
            </w:r>
            <w:r w:rsidRPr="00227074">
              <w:rPr>
                <w:rFonts w:eastAsia="Times"/>
              </w:rPr>
              <w:t>:</w:t>
            </w:r>
          </w:p>
          <w:p w14:paraId="7A38DA7E" w14:textId="3C8D3A9B"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Internal combustion engine engines</w:t>
            </w:r>
            <w:r w:rsidR="003C26CB">
              <w:rPr>
                <w:lang w:val="en-AU"/>
              </w:rPr>
              <w:t>:</w:t>
            </w:r>
          </w:p>
          <w:p w14:paraId="7222FA59" w14:textId="155818F1"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Petrol (divide further if data is available)</w:t>
            </w:r>
          </w:p>
          <w:p w14:paraId="42EB1BCC" w14:textId="5D20A729"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Diesel</w:t>
            </w:r>
            <w:r w:rsidR="003C26CB">
              <w:rPr>
                <w:rFonts w:eastAsia="Times New Roman"/>
                <w:lang w:val="en-AU"/>
              </w:rPr>
              <w:t xml:space="preserve"> or b</w:t>
            </w:r>
            <w:proofErr w:type="spellStart"/>
            <w:r w:rsidRPr="008037D1">
              <w:rPr>
                <w:rFonts w:eastAsia="Times New Roman"/>
              </w:rPr>
              <w:t>iodiesel</w:t>
            </w:r>
            <w:proofErr w:type="spellEnd"/>
          </w:p>
          <w:p w14:paraId="50963780" w14:textId="6AAB9857"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LPG</w:t>
            </w:r>
          </w:p>
          <w:p w14:paraId="2DDC13E6" w14:textId="0C310B4B"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Aviation fuels</w:t>
            </w:r>
          </w:p>
          <w:p w14:paraId="6EF435B2" w14:textId="391F4823"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Solid fuel</w:t>
            </w:r>
          </w:p>
          <w:p w14:paraId="29BCD105" w14:textId="1D116FD0"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Fuel oil</w:t>
            </w:r>
          </w:p>
          <w:p w14:paraId="4BAB8143" w14:textId="5B7EB009"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Hydrogen</w:t>
            </w:r>
          </w:p>
          <w:p w14:paraId="0D8AB605" w14:textId="1877630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Hybrid (only </w:t>
            </w:r>
            <w:r w:rsidR="003C26CB">
              <w:rPr>
                <w:lang w:val="en-AU"/>
              </w:rPr>
              <w:t>if it</w:t>
            </w:r>
            <w:r w:rsidRPr="008037D1">
              <w:rPr>
                <w:rFonts w:eastAsia="Times New Roman"/>
              </w:rPr>
              <w:t xml:space="preserve"> can be independently charged)</w:t>
            </w:r>
            <w:r w:rsidR="003C26CB">
              <w:rPr>
                <w:lang w:val="en-AU"/>
              </w:rPr>
              <w:t>:</w:t>
            </w:r>
          </w:p>
          <w:p w14:paraId="1D7586A8" w14:textId="47173880"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Plug-in </w:t>
            </w:r>
            <w:r w:rsidR="003C26CB" w:rsidRPr="003C26CB">
              <w:rPr>
                <w:lang w:val="en-AU"/>
              </w:rPr>
              <w:t xml:space="preserve">hybrid electric vehicle </w:t>
            </w:r>
            <w:r w:rsidRPr="008037D1">
              <w:rPr>
                <w:rFonts w:eastAsia="Times New Roman"/>
              </w:rPr>
              <w:t>(PHEV)</w:t>
            </w:r>
          </w:p>
          <w:p w14:paraId="40BB8E48" w14:textId="532C287E"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Range-extended electric vehicle</w:t>
            </w:r>
          </w:p>
          <w:p w14:paraId="764E4349" w14:textId="6E4C3B8B"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Electric propulsion</w:t>
            </w:r>
            <w:r w:rsidR="003C26CB">
              <w:rPr>
                <w:lang w:val="en-AU"/>
              </w:rPr>
              <w:t>:</w:t>
            </w:r>
          </w:p>
          <w:p w14:paraId="33782D46" w14:textId="1DA40BC5"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Battery </w:t>
            </w:r>
            <w:r w:rsidR="003C26CB" w:rsidRPr="003C26CB">
              <w:rPr>
                <w:lang w:val="en-AU"/>
              </w:rPr>
              <w:t xml:space="preserve">electric vehicle </w:t>
            </w:r>
            <w:r w:rsidRPr="008037D1">
              <w:rPr>
                <w:rFonts w:eastAsia="Times New Roman"/>
              </w:rPr>
              <w:t>(BEV)</w:t>
            </w:r>
          </w:p>
          <w:p w14:paraId="246DA3AF" w14:textId="0A0DDCE3"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Fuel </w:t>
            </w:r>
            <w:r w:rsidR="003C26CB" w:rsidRPr="003C26CB">
              <w:rPr>
                <w:lang w:val="en-AU"/>
              </w:rPr>
              <w:t xml:space="preserve">cell electric vehicle </w:t>
            </w:r>
            <w:r w:rsidRPr="008037D1">
              <w:rPr>
                <w:rFonts w:eastAsia="Times New Roman"/>
              </w:rPr>
              <w:t>(FCEV)</w:t>
            </w:r>
          </w:p>
        </w:tc>
        <w:tc>
          <w:tcPr>
            <w:tcW w:w="3261" w:type="dxa"/>
          </w:tcPr>
          <w:p w14:paraId="23FC3509" w14:textId="02ABF5D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proofErr w:type="spellStart"/>
            <w:r w:rsidRPr="008037D1">
              <w:rPr>
                <w:rFonts w:eastAsia="Times New Roman"/>
              </w:rPr>
              <w:t>VicFleet</w:t>
            </w:r>
            <w:proofErr w:type="spellEnd"/>
            <w:r w:rsidR="00E72F87" w:rsidRPr="008037D1">
              <w:rPr>
                <w:rFonts w:eastAsia="Times New Roman"/>
              </w:rPr>
              <w:t xml:space="preserve"> – </w:t>
            </w:r>
            <w:r w:rsidR="00E72F87" w:rsidRPr="00A1739E">
              <w:rPr>
                <w:rFonts w:eastAsia="Times"/>
              </w:rPr>
              <w:t>g</w:t>
            </w:r>
            <w:r w:rsidRPr="00A1739E">
              <w:rPr>
                <w:rFonts w:eastAsia="Times"/>
              </w:rPr>
              <w:t xml:space="preserve">overnment entities can email </w:t>
            </w:r>
            <w:r w:rsidR="00E72F87" w:rsidRPr="008037D1">
              <w:rPr>
                <w:rFonts w:eastAsia="Times New Roman"/>
              </w:rPr>
              <w:t>vfcontracts@dtf.vic.gov.au</w:t>
            </w:r>
            <w:r w:rsidRPr="00A1739E">
              <w:rPr>
                <w:rFonts w:eastAsia="Times"/>
              </w:rPr>
              <w:t xml:space="preserve"> </w:t>
            </w:r>
            <w:r w:rsidR="00E72F87" w:rsidRPr="00A1739E">
              <w:rPr>
                <w:rFonts w:eastAsia="Times"/>
              </w:rPr>
              <w:t xml:space="preserve">to </w:t>
            </w:r>
            <w:r w:rsidRPr="00A1739E">
              <w:rPr>
                <w:rFonts w:eastAsia="Times"/>
              </w:rPr>
              <w:t>request this data.</w:t>
            </w:r>
          </w:p>
          <w:p w14:paraId="2F059431" w14:textId="6609E837" w:rsidR="006C6942" w:rsidRPr="008037D1" w:rsidRDefault="006C6942"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Fleet or asset register</w:t>
            </w:r>
          </w:p>
          <w:p w14:paraId="09C974D5" w14:textId="11508192" w:rsidR="006C6942" w:rsidRPr="008037D1" w:rsidRDefault="006C6942"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Shared </w:t>
            </w:r>
            <w:r w:rsidR="003C26CB" w:rsidRPr="003C26CB">
              <w:rPr>
                <w:lang w:val="en-AU"/>
              </w:rPr>
              <w:t>service provider</w:t>
            </w:r>
            <w:r w:rsidR="008E3AC8">
              <w:rPr>
                <w:lang w:val="en-AU"/>
              </w:rPr>
              <w:t xml:space="preserve"> (SSP)</w:t>
            </w:r>
          </w:p>
          <w:p w14:paraId="1D8B7310" w14:textId="6B125477" w:rsidR="00E30AE6" w:rsidRPr="008037D1" w:rsidRDefault="006C6942"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New Roman"/>
              </w:rPr>
              <w:t>Invoices for leases</w:t>
            </w:r>
          </w:p>
        </w:tc>
        <w:tc>
          <w:tcPr>
            <w:tcW w:w="1284" w:type="dxa"/>
          </w:tcPr>
          <w:p w14:paraId="09C9E9A8" w14:textId="01AEFD08"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3a and 4</w:t>
            </w:r>
          </w:p>
        </w:tc>
      </w:tr>
      <w:tr w:rsidR="00760913" w:rsidRPr="00A1739E" w14:paraId="29DDA03D" w14:textId="77777777" w:rsidTr="0016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183FD4F" w14:textId="6E77F8DA" w:rsidR="00E30AE6" w:rsidRPr="008037D1" w:rsidRDefault="00E30AE6" w:rsidP="008037D1">
            <w:pPr>
              <w:pStyle w:val="Tabletext"/>
              <w:rPr>
                <w:rFonts w:eastAsia="Times"/>
                <w:lang w:val="en-AU"/>
              </w:rPr>
            </w:pPr>
            <w:r w:rsidRPr="00A1739E">
              <w:rPr>
                <w:rFonts w:eastAsia="Times"/>
                <w:b/>
              </w:rPr>
              <w:t>T3</w:t>
            </w:r>
            <w:r w:rsidR="00E72F87" w:rsidRPr="00A1739E">
              <w:rPr>
                <w:rFonts w:eastAsia="Times"/>
              </w:rPr>
              <w:t xml:space="preserve">: </w:t>
            </w:r>
            <w:r w:rsidRPr="00A1739E">
              <w:rPr>
                <w:rFonts w:eastAsia="Times"/>
              </w:rPr>
              <w:t>Greenhouse gas emissions from vehicle</w:t>
            </w:r>
            <w:r w:rsidR="00E72F87" w:rsidRPr="00A1739E">
              <w:rPr>
                <w:rFonts w:eastAsia="Times"/>
              </w:rPr>
              <w:t xml:space="preserve"> </w:t>
            </w:r>
            <w:r w:rsidRPr="00A1739E">
              <w:rPr>
                <w:rFonts w:eastAsia="Times"/>
              </w:rPr>
              <w:t>fleet (</w:t>
            </w:r>
            <w:proofErr w:type="spellStart"/>
            <w:r w:rsidRPr="00A1739E">
              <w:rPr>
                <w:rFonts w:eastAsia="Times"/>
              </w:rPr>
              <w:t>tonnes</w:t>
            </w:r>
            <w:proofErr w:type="spellEnd"/>
            <w:r w:rsidRPr="00A1739E">
              <w:rPr>
                <w:rFonts w:eastAsia="Times"/>
              </w:rPr>
              <w:t xml:space="preserve"> </w:t>
            </w:r>
            <w:r w:rsidR="00BD396D" w:rsidRPr="00E30AE6">
              <w:rPr>
                <w:rFonts w:eastAsia="Times"/>
              </w:rPr>
              <w:t>CO</w:t>
            </w:r>
            <w:r w:rsidR="00BD396D" w:rsidRPr="00A838BF">
              <w:rPr>
                <w:rFonts w:eastAsia="Times"/>
                <w:vertAlign w:val="subscript"/>
              </w:rPr>
              <w:t>2</w:t>
            </w:r>
            <w:r w:rsidRPr="00A1739E">
              <w:rPr>
                <w:rFonts w:eastAsia="Times"/>
              </w:rPr>
              <w:t>-e)</w:t>
            </w:r>
          </w:p>
          <w:p w14:paraId="2F999665" w14:textId="168D46C1" w:rsidR="00E30AE6" w:rsidRPr="008037D1" w:rsidRDefault="00E30AE6" w:rsidP="008037D1">
            <w:pPr>
              <w:pStyle w:val="Tablebullet1"/>
              <w:rPr>
                <w:rFonts w:eastAsia="Times"/>
                <w:lang w:val="en-AU"/>
              </w:rPr>
            </w:pPr>
            <w:r w:rsidRPr="00A1739E">
              <w:rPr>
                <w:rFonts w:eastAsia="Times"/>
              </w:rPr>
              <w:t>Reported through the EDMS</w:t>
            </w:r>
          </w:p>
        </w:tc>
        <w:tc>
          <w:tcPr>
            <w:tcW w:w="3260" w:type="dxa"/>
          </w:tcPr>
          <w:p w14:paraId="44319CD1" w14:textId="46F842F6"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 xml:space="preserve">Use same segmentation as </w:t>
            </w:r>
            <w:r w:rsidRPr="008037D1">
              <w:rPr>
                <w:rStyle w:val="Strong"/>
                <w:rFonts w:eastAsia="Times New Roman"/>
              </w:rPr>
              <w:t>T1</w:t>
            </w:r>
          </w:p>
        </w:tc>
        <w:tc>
          <w:tcPr>
            <w:tcW w:w="3261" w:type="dxa"/>
          </w:tcPr>
          <w:p w14:paraId="3E59E2C8" w14:textId="56A1BEC2"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Use data from </w:t>
            </w:r>
            <w:r w:rsidRPr="008037D1">
              <w:rPr>
                <w:rStyle w:val="Strong"/>
                <w:rFonts w:eastAsia="Times New Roman"/>
              </w:rPr>
              <w:t>T1</w:t>
            </w:r>
          </w:p>
          <w:p w14:paraId="195DD8DE" w14:textId="016C00C9"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EDMS can calculate this data</w:t>
            </w:r>
          </w:p>
        </w:tc>
        <w:tc>
          <w:tcPr>
            <w:tcW w:w="1284" w:type="dxa"/>
          </w:tcPr>
          <w:p w14:paraId="405577B1" w14:textId="7C7A70B1"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r w:rsidR="00760913" w:rsidRPr="00A1739E" w14:paraId="435EC5A8" w14:textId="77777777" w:rsidTr="001600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58FCF5" w14:textId="07F3CE44" w:rsidR="00E30AE6" w:rsidRPr="008037D1" w:rsidRDefault="00E30AE6" w:rsidP="008037D1">
            <w:pPr>
              <w:pStyle w:val="Tabletext"/>
              <w:rPr>
                <w:rFonts w:eastAsia="Times"/>
                <w:lang w:val="en-AU"/>
              </w:rPr>
            </w:pPr>
            <w:r w:rsidRPr="00A1739E">
              <w:rPr>
                <w:rFonts w:eastAsia="Times"/>
                <w:b/>
              </w:rPr>
              <w:t>T4</w:t>
            </w:r>
            <w:r w:rsidR="00E72F87" w:rsidRPr="00A1739E">
              <w:rPr>
                <w:rFonts w:eastAsia="Times"/>
              </w:rPr>
              <w:t xml:space="preserve">: </w:t>
            </w:r>
            <w:r w:rsidRPr="00A1739E">
              <w:rPr>
                <w:rFonts w:eastAsia="Times"/>
              </w:rPr>
              <w:t xml:space="preserve">Total distance travelled </w:t>
            </w:r>
            <w:r w:rsidR="00E72F87" w:rsidRPr="00A1739E">
              <w:rPr>
                <w:rFonts w:eastAsia="Times"/>
              </w:rPr>
              <w:t xml:space="preserve">by </w:t>
            </w:r>
            <w:r w:rsidRPr="00A1739E">
              <w:rPr>
                <w:rFonts w:eastAsia="Times"/>
              </w:rPr>
              <w:t>commercial air travel (km)</w:t>
            </w:r>
          </w:p>
          <w:p w14:paraId="0EED10B5" w14:textId="47E4A6B4" w:rsidR="00E30AE6" w:rsidRPr="008037D1" w:rsidRDefault="00E30AE6" w:rsidP="008037D1">
            <w:pPr>
              <w:pStyle w:val="Tablebullet1"/>
              <w:rPr>
                <w:rFonts w:eastAsia="Times"/>
                <w:lang w:val="en-AU"/>
              </w:rPr>
            </w:pPr>
            <w:r w:rsidRPr="00A1739E">
              <w:rPr>
                <w:rFonts w:eastAsia="Times"/>
              </w:rPr>
              <w:t>Reported through the EDMS</w:t>
            </w:r>
          </w:p>
        </w:tc>
        <w:tc>
          <w:tcPr>
            <w:tcW w:w="3260" w:type="dxa"/>
          </w:tcPr>
          <w:p w14:paraId="37A6B118" w14:textId="29DC1192" w:rsidR="00E30AE6" w:rsidRPr="008037D1" w:rsidRDefault="00E30AE6" w:rsidP="00E30AE6">
            <w:pPr>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N</w:t>
            </w:r>
            <w:r w:rsidR="00E72F87" w:rsidRPr="00A1739E">
              <w:rPr>
                <w:rFonts w:eastAsia="Times"/>
              </w:rPr>
              <w:t>one</w:t>
            </w:r>
            <w:r w:rsidRPr="00A1739E">
              <w:rPr>
                <w:rFonts w:eastAsia="Times"/>
              </w:rPr>
              <w:t xml:space="preserve"> required</w:t>
            </w:r>
          </w:p>
        </w:tc>
        <w:tc>
          <w:tcPr>
            <w:tcW w:w="3261" w:type="dxa"/>
          </w:tcPr>
          <w:p w14:paraId="6FAD4D2F" w14:textId="08ACA747" w:rsidR="005C0ECE" w:rsidRDefault="005C0ECE">
            <w:pPr>
              <w:pStyle w:val="Tablebullet1"/>
              <w:cnfStyle w:val="000000010000" w:firstRow="0" w:lastRow="0" w:firstColumn="0" w:lastColumn="0" w:oddVBand="0" w:evenVBand="0" w:oddHBand="0" w:evenHBand="1" w:firstRowFirstColumn="0" w:firstRowLastColumn="0" w:lastRowFirstColumn="0" w:lastRowLastColumn="0"/>
              <w:rPr>
                <w:lang w:val="en-AU"/>
              </w:rPr>
            </w:pPr>
            <w:r>
              <w:rPr>
                <w:lang w:val="en-AU"/>
              </w:rPr>
              <w:t>M</w:t>
            </w:r>
            <w:proofErr w:type="spellStart"/>
            <w:r w:rsidR="00E30AE6" w:rsidRPr="00A1739E">
              <w:t>ost</w:t>
            </w:r>
            <w:proofErr w:type="spellEnd"/>
            <w:r w:rsidR="00E30AE6" w:rsidRPr="00A1739E">
              <w:t xml:space="preserve"> Victorian government entities </w:t>
            </w:r>
            <w:r>
              <w:rPr>
                <w:lang w:val="en-AU"/>
              </w:rPr>
              <w:t xml:space="preserve">can get </w:t>
            </w:r>
            <w:r w:rsidRPr="00A1739E">
              <w:t>a</w:t>
            </w:r>
            <w:r>
              <w:rPr>
                <w:lang w:val="en-AU"/>
              </w:rPr>
              <w:t xml:space="preserve"> </w:t>
            </w:r>
            <w:r w:rsidR="00E30AE6" w:rsidRPr="00A1739E">
              <w:t>detailed carbon report</w:t>
            </w:r>
            <w:r>
              <w:rPr>
                <w:lang w:val="en-AU"/>
              </w:rPr>
              <w:t xml:space="preserve"> </w:t>
            </w:r>
            <w:r w:rsidR="00E30AE6" w:rsidRPr="00A1739E">
              <w:t xml:space="preserve">from </w:t>
            </w:r>
            <w:r>
              <w:rPr>
                <w:lang w:val="en-AU"/>
              </w:rPr>
              <w:t>CTM (</w:t>
            </w:r>
            <w:r w:rsidR="00E30AE6" w:rsidRPr="00A1739E">
              <w:t>corporate travel provider</w:t>
            </w:r>
            <w:r>
              <w:rPr>
                <w:lang w:val="en-AU"/>
              </w:rPr>
              <w:t>)</w:t>
            </w:r>
            <w:r w:rsidR="00E30AE6" w:rsidRPr="00A1739E">
              <w:t>.</w:t>
            </w:r>
            <w:r>
              <w:rPr>
                <w:lang w:val="en-AU"/>
              </w:rPr>
              <w:br/>
            </w:r>
            <w:r w:rsidR="00E30AE6" w:rsidRPr="00A1739E">
              <w:t>To request the report</w:t>
            </w:r>
            <w:r>
              <w:rPr>
                <w:lang w:val="en-AU"/>
              </w:rPr>
              <w:t>:</w:t>
            </w:r>
          </w:p>
          <w:p w14:paraId="2445C815" w14:textId="28B3839B" w:rsidR="005C0ECE" w:rsidRDefault="00E30AE6" w:rsidP="005C0ECE">
            <w:pPr>
              <w:pStyle w:val="Tablebullet2"/>
              <w:cnfStyle w:val="000000010000" w:firstRow="0" w:lastRow="0" w:firstColumn="0" w:lastColumn="0" w:oddVBand="0" w:evenVBand="0" w:oddHBand="0" w:evenHBand="1" w:firstRowFirstColumn="0" w:firstRowLastColumn="0" w:lastRowFirstColumn="0" w:lastRowLastColumn="0"/>
              <w:rPr>
                <w:lang w:val="en-AU"/>
              </w:rPr>
            </w:pPr>
            <w:r w:rsidRPr="00A1739E">
              <w:t>email CTM</w:t>
            </w:r>
            <w:r w:rsidR="005C0ECE">
              <w:rPr>
                <w:lang w:val="en-AU"/>
              </w:rPr>
              <w:t>:</w:t>
            </w:r>
            <w:r w:rsidRPr="00A1739E">
              <w:t xml:space="preserve"> </w:t>
            </w:r>
            <w:r w:rsidR="00A1739E" w:rsidRPr="008037D1">
              <w:t>connie.ivanoski@travelctm.com</w:t>
            </w:r>
            <w:r w:rsidR="00E72F87" w:rsidRPr="00A1739E">
              <w:t xml:space="preserve"> </w:t>
            </w:r>
          </w:p>
          <w:p w14:paraId="10E4A82F" w14:textId="35CF29FB" w:rsidR="00E30AE6" w:rsidRPr="008037D1" w:rsidRDefault="00E30AE6" w:rsidP="008037D1">
            <w:pPr>
              <w:pStyle w:val="Tablebullet2"/>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provide your</w:t>
            </w:r>
            <w:r w:rsidR="00E72F87" w:rsidRPr="008037D1">
              <w:rPr>
                <w:rFonts w:eastAsia="Times New Roman"/>
              </w:rPr>
              <w:t xml:space="preserve"> </w:t>
            </w:r>
            <w:r w:rsidRPr="008037D1">
              <w:rPr>
                <w:rFonts w:eastAsia="Times New Roman"/>
              </w:rPr>
              <w:t>organisation</w:t>
            </w:r>
            <w:r w:rsidR="00E72F87" w:rsidRPr="008037D1">
              <w:rPr>
                <w:rFonts w:eastAsia="Times New Roman"/>
              </w:rPr>
              <w:t xml:space="preserve"> </w:t>
            </w:r>
            <w:r w:rsidRPr="008037D1">
              <w:rPr>
                <w:rFonts w:eastAsia="Times New Roman"/>
              </w:rPr>
              <w:t>name and reporting</w:t>
            </w:r>
            <w:r w:rsidR="00E72F87" w:rsidRPr="008037D1">
              <w:rPr>
                <w:rFonts w:eastAsia="Times New Roman"/>
              </w:rPr>
              <w:t xml:space="preserve"> </w:t>
            </w:r>
            <w:r w:rsidRPr="008037D1">
              <w:rPr>
                <w:rFonts w:eastAsia="Times New Roman"/>
              </w:rPr>
              <w:t>year.</w:t>
            </w:r>
          </w:p>
          <w:p w14:paraId="2F14CAF9" w14:textId="774ADB89"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Other travel service providers</w:t>
            </w:r>
          </w:p>
          <w:p w14:paraId="4BBB7944" w14:textId="5C6C5C52"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Airlines and individual tickets</w:t>
            </w:r>
          </w:p>
          <w:p w14:paraId="7227F221" w14:textId="1E4F7F2B"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Otherwise, </w:t>
            </w:r>
            <w:r w:rsidR="005C0ECE">
              <w:rPr>
                <w:lang w:val="en-AU"/>
              </w:rPr>
              <w:t>collate</w:t>
            </w:r>
            <w:r w:rsidR="005C0ECE" w:rsidRPr="008037D1">
              <w:rPr>
                <w:rFonts w:eastAsia="Times New Roman"/>
              </w:rPr>
              <w:t xml:space="preserve"> </w:t>
            </w:r>
            <w:r w:rsidRPr="008037D1">
              <w:rPr>
                <w:rFonts w:eastAsia="Times New Roman"/>
              </w:rPr>
              <w:t>data from other travel supplier</w:t>
            </w:r>
            <w:r w:rsidR="005C0ECE">
              <w:rPr>
                <w:lang w:val="en-AU"/>
              </w:rPr>
              <w:t xml:space="preserve"> or </w:t>
            </w:r>
            <w:r w:rsidRPr="008037D1">
              <w:rPr>
                <w:rFonts w:eastAsia="Times New Roman"/>
              </w:rPr>
              <w:t>supplier billing</w:t>
            </w:r>
          </w:p>
        </w:tc>
        <w:tc>
          <w:tcPr>
            <w:tcW w:w="1284" w:type="dxa"/>
          </w:tcPr>
          <w:p w14:paraId="0180C052" w14:textId="6EB681BA"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bl>
    <w:p w14:paraId="25D19CE5" w14:textId="3B1C883B" w:rsidR="00E30AE6" w:rsidRPr="00E30AE6" w:rsidRDefault="00E72F87" w:rsidP="008037D1">
      <w:pPr>
        <w:pStyle w:val="Tablefigurenote"/>
      </w:pPr>
      <w:r w:rsidRPr="008037D1">
        <w:rPr>
          <w:rFonts w:eastAsia="Times"/>
          <w:b/>
          <w:bCs/>
        </w:rPr>
        <w:t>Note</w:t>
      </w:r>
      <w:r>
        <w:t xml:space="preserve">: </w:t>
      </w:r>
      <w:r w:rsidR="00E30AE6" w:rsidRPr="00E30AE6">
        <w:t>Key information and reminders:</w:t>
      </w:r>
    </w:p>
    <w:p w14:paraId="757CBA7B" w14:textId="0580F282" w:rsidR="00E30AE6" w:rsidRPr="00E30AE6" w:rsidRDefault="00E30AE6" w:rsidP="008037D1">
      <w:pPr>
        <w:pStyle w:val="Tablebullet1"/>
      </w:pPr>
      <w:r w:rsidRPr="008037D1">
        <w:rPr>
          <w:b/>
          <w:bCs/>
        </w:rPr>
        <w:t>Vehicle segmentation</w:t>
      </w:r>
      <w:r w:rsidRPr="008037D1">
        <w:t>:</w:t>
      </w:r>
      <w:r w:rsidRPr="00E30AE6">
        <w:rPr>
          <w:b/>
          <w:bCs/>
        </w:rPr>
        <w:t xml:space="preserve"> </w:t>
      </w:r>
      <w:r w:rsidRPr="00E30AE6">
        <w:t xml:space="preserve">fuel consumption data only needs to be segmented into road and non-road vehicles. If </w:t>
      </w:r>
      <w:r w:rsidR="005C0ECE">
        <w:t xml:space="preserve">you have </w:t>
      </w:r>
      <w:r w:rsidRPr="00E30AE6">
        <w:t xml:space="preserve">more detailed data, aim to </w:t>
      </w:r>
      <w:r w:rsidR="005C0ECE">
        <w:t>follow</w:t>
      </w:r>
      <w:r w:rsidR="005C0ECE" w:rsidRPr="00E30AE6">
        <w:t xml:space="preserve"> </w:t>
      </w:r>
      <w:r w:rsidRPr="00E30AE6">
        <w:t xml:space="preserve">the segmentation for indicator </w:t>
      </w:r>
      <w:r w:rsidRPr="008037D1">
        <w:rPr>
          <w:rStyle w:val="Strong"/>
        </w:rPr>
        <w:t>T2</w:t>
      </w:r>
      <w:r w:rsidRPr="00E30AE6">
        <w:t>.</w:t>
      </w:r>
    </w:p>
    <w:p w14:paraId="4B9B69F8" w14:textId="3EE40CCA" w:rsidR="00E30AE6" w:rsidRDefault="00E30AE6" w:rsidP="008037D1">
      <w:pPr>
        <w:pStyle w:val="Tablebullet1"/>
      </w:pPr>
      <w:r w:rsidRPr="008037D1">
        <w:rPr>
          <w:b/>
          <w:bCs/>
        </w:rPr>
        <w:t>Electric vehicle charging</w:t>
      </w:r>
      <w:r w:rsidRPr="008037D1">
        <w:t>:</w:t>
      </w:r>
      <w:r w:rsidRPr="00E30AE6">
        <w:rPr>
          <w:b/>
          <w:bCs/>
        </w:rPr>
        <w:t xml:space="preserve"> </w:t>
      </w:r>
      <w:r w:rsidRPr="00E30AE6">
        <w:t xml:space="preserve">ensure that electricity used to charge vehicles at entity facilities is </w:t>
      </w:r>
      <w:r w:rsidRPr="008037D1">
        <w:rPr>
          <w:rStyle w:val="Strong"/>
        </w:rPr>
        <w:t>not</w:t>
      </w:r>
      <w:r w:rsidRPr="00E30AE6">
        <w:t xml:space="preserve"> added to greenhouse gas (</w:t>
      </w:r>
      <w:r w:rsidRPr="008037D1">
        <w:rPr>
          <w:rStyle w:val="Strong"/>
        </w:rPr>
        <w:t>T3</w:t>
      </w:r>
      <w:r w:rsidRPr="00E30AE6">
        <w:t>) or total energy figures (</w:t>
      </w:r>
      <w:r w:rsidRPr="008037D1">
        <w:rPr>
          <w:rStyle w:val="Strong"/>
        </w:rPr>
        <w:t>E1</w:t>
      </w:r>
      <w:r w:rsidRPr="00E30AE6">
        <w:t xml:space="preserve">). </w:t>
      </w:r>
    </w:p>
    <w:p w14:paraId="05DB004B" w14:textId="1F7F7586" w:rsidR="00E30AE6" w:rsidRPr="00E30AE6" w:rsidRDefault="00E30AE6" w:rsidP="008037D1">
      <w:pPr>
        <w:pStyle w:val="Heading2"/>
        <w:numPr>
          <w:ilvl w:val="1"/>
          <w:numId w:val="91"/>
        </w:numPr>
        <w:rPr>
          <w:rFonts w:eastAsia="Times"/>
        </w:rPr>
      </w:pPr>
      <w:bookmarkStart w:id="58" w:name="_Toc137566830"/>
      <w:bookmarkStart w:id="59" w:name="_Toc137721910"/>
      <w:bookmarkStart w:id="60" w:name="_Toc137727412"/>
      <w:bookmarkStart w:id="61" w:name="_Toc138239123"/>
      <w:bookmarkEnd w:id="58"/>
      <w:bookmarkEnd w:id="59"/>
      <w:bookmarkEnd w:id="60"/>
      <w:r w:rsidRPr="00E30AE6">
        <w:rPr>
          <w:rFonts w:eastAsia="Times"/>
        </w:rPr>
        <w:t>Total energy</w:t>
      </w:r>
      <w:bookmarkEnd w:id="61"/>
    </w:p>
    <w:p w14:paraId="39004A0E" w14:textId="7737C8C2" w:rsidR="00A1739E" w:rsidRDefault="00A1739E" w:rsidP="008037D1">
      <w:pPr>
        <w:pStyle w:val="Tablecaption"/>
      </w:pPr>
      <w:r>
        <w:t xml:space="preserve">Table </w:t>
      </w:r>
      <w:fldSimple w:instr=" SEQ Table \* ARABIC ">
        <w:r w:rsidR="00C52465">
          <w:rPr>
            <w:noProof/>
          </w:rPr>
          <w:t>5</w:t>
        </w:r>
      </w:fldSimple>
      <w:r>
        <w:t>: Total energy indicators</w:t>
      </w:r>
    </w:p>
    <w:tbl>
      <w:tblPr>
        <w:tblStyle w:val="Bluetable"/>
        <w:tblW w:w="9637" w:type="dxa"/>
        <w:tblInd w:w="5" w:type="dxa"/>
        <w:tblLook w:val="04A0" w:firstRow="1" w:lastRow="0" w:firstColumn="1" w:lastColumn="0" w:noHBand="0" w:noVBand="1"/>
      </w:tblPr>
      <w:tblGrid>
        <w:gridCol w:w="1903"/>
        <w:gridCol w:w="3054"/>
        <w:gridCol w:w="3402"/>
        <w:gridCol w:w="144"/>
        <w:gridCol w:w="1134"/>
      </w:tblGrid>
      <w:tr w:rsidR="00E30AE6" w:rsidRPr="00A1739E" w14:paraId="29D0DB0B" w14:textId="77777777" w:rsidTr="00940AA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903" w:type="dxa"/>
          </w:tcPr>
          <w:p w14:paraId="3DA6EFF9" w14:textId="77777777" w:rsidR="00E30AE6" w:rsidRPr="008037D1" w:rsidRDefault="00E30AE6" w:rsidP="008037D1">
            <w:pPr>
              <w:pStyle w:val="Tablecolhead"/>
              <w:rPr>
                <w:rFonts w:eastAsia="Times"/>
                <w:lang w:val="en-AU"/>
              </w:rPr>
            </w:pPr>
            <w:r w:rsidRPr="00227074">
              <w:rPr>
                <w:rFonts w:eastAsia="Times"/>
              </w:rPr>
              <w:t>Indicator</w:t>
            </w:r>
          </w:p>
        </w:tc>
        <w:tc>
          <w:tcPr>
            <w:tcW w:w="3054" w:type="dxa"/>
          </w:tcPr>
          <w:p w14:paraId="4850FC2C"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Segmentation</w:t>
            </w:r>
          </w:p>
        </w:tc>
        <w:tc>
          <w:tcPr>
            <w:tcW w:w="3402" w:type="dxa"/>
          </w:tcPr>
          <w:p w14:paraId="65E70038"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sidRPr="00227074">
              <w:rPr>
                <w:rFonts w:eastAsia="Times"/>
              </w:rPr>
              <w:t>Data sources</w:t>
            </w:r>
          </w:p>
        </w:tc>
        <w:tc>
          <w:tcPr>
            <w:tcW w:w="1278" w:type="dxa"/>
            <w:gridSpan w:val="2"/>
          </w:tcPr>
          <w:p w14:paraId="6A00552F" w14:textId="51A45EA1" w:rsidR="00E30AE6" w:rsidRPr="008037D1" w:rsidRDefault="00242767" w:rsidP="008037D1">
            <w:pPr>
              <w:pStyle w:val="Tablecolhead"/>
              <w:cnfStyle w:val="100000000000" w:firstRow="1" w:lastRow="0" w:firstColumn="0" w:lastColumn="0" w:oddVBand="0" w:evenVBand="0" w:oddHBand="0" w:evenHBand="0" w:firstRowFirstColumn="0" w:firstRowLastColumn="0" w:lastRowFirstColumn="0" w:lastRowLastColumn="0"/>
              <w:rPr>
                <w:rFonts w:eastAsia="Times"/>
                <w:lang w:val="en-AU"/>
              </w:rPr>
            </w:pPr>
            <w:r>
              <w:rPr>
                <w:rFonts w:eastAsia="Times"/>
              </w:rPr>
              <w:t>Tier</w:t>
            </w:r>
          </w:p>
        </w:tc>
      </w:tr>
      <w:tr w:rsidR="00E30AE6" w:rsidRPr="00A1739E" w14:paraId="5087FDD3" w14:textId="77777777" w:rsidTr="00940AA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903" w:type="dxa"/>
          </w:tcPr>
          <w:p w14:paraId="4C700F36" w14:textId="1A0F4FDF" w:rsidR="00E30AE6" w:rsidRPr="008037D1" w:rsidRDefault="00E30AE6" w:rsidP="008037D1">
            <w:pPr>
              <w:pStyle w:val="Tabletext"/>
              <w:rPr>
                <w:rFonts w:eastAsia="Times"/>
                <w:lang w:val="en-AU"/>
              </w:rPr>
            </w:pPr>
            <w:r w:rsidRPr="00A1739E">
              <w:rPr>
                <w:rFonts w:eastAsia="Times"/>
                <w:b/>
              </w:rPr>
              <w:t>E1</w:t>
            </w:r>
            <w:r w:rsidR="00E72F87" w:rsidRPr="00A1739E">
              <w:rPr>
                <w:rFonts w:eastAsia="Times"/>
              </w:rPr>
              <w:t xml:space="preserve">: </w:t>
            </w:r>
            <w:r w:rsidRPr="00A1739E">
              <w:rPr>
                <w:rFonts w:eastAsia="Times"/>
              </w:rPr>
              <w:t>Total energy usage from fuels (MJ)</w:t>
            </w:r>
          </w:p>
          <w:p w14:paraId="020458C6" w14:textId="0958C6D1" w:rsidR="00E30AE6" w:rsidRPr="008037D1" w:rsidRDefault="00E30AE6" w:rsidP="008037D1">
            <w:pPr>
              <w:pStyle w:val="Tablebullet1"/>
              <w:rPr>
                <w:rFonts w:eastAsia="Times"/>
                <w:lang w:val="en-AU"/>
              </w:rPr>
            </w:pPr>
            <w:r w:rsidRPr="00A1739E">
              <w:rPr>
                <w:rFonts w:eastAsia="Times"/>
              </w:rPr>
              <w:t>Reported through the EDMS</w:t>
            </w:r>
          </w:p>
        </w:tc>
        <w:tc>
          <w:tcPr>
            <w:tcW w:w="3054" w:type="dxa"/>
          </w:tcPr>
          <w:p w14:paraId="32D446CC" w14:textId="112CFABB"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No segmentation</w:t>
            </w:r>
          </w:p>
        </w:tc>
        <w:tc>
          <w:tcPr>
            <w:tcW w:w="3546" w:type="dxa"/>
            <w:gridSpan w:val="2"/>
          </w:tcPr>
          <w:p w14:paraId="14ACD142" w14:textId="61CACF18"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Sum data from </w:t>
            </w:r>
            <w:r w:rsidRPr="008037D1">
              <w:rPr>
                <w:rStyle w:val="Strong"/>
                <w:rFonts w:eastAsia="Times New Roman"/>
              </w:rPr>
              <w:t>F1</w:t>
            </w:r>
            <w:r w:rsidRPr="008037D1">
              <w:rPr>
                <w:rFonts w:eastAsia="Times New Roman"/>
              </w:rPr>
              <w:t xml:space="preserve"> and </w:t>
            </w:r>
            <w:r w:rsidRPr="008037D1">
              <w:rPr>
                <w:rStyle w:val="Strong"/>
                <w:rFonts w:eastAsia="Times New Roman"/>
              </w:rPr>
              <w:t>T1</w:t>
            </w:r>
          </w:p>
          <w:p w14:paraId="44E49FF3" w14:textId="4A54D354"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EDMS can calculate this data</w:t>
            </w:r>
          </w:p>
        </w:tc>
        <w:tc>
          <w:tcPr>
            <w:tcW w:w="1134" w:type="dxa"/>
          </w:tcPr>
          <w:p w14:paraId="11D9185A" w14:textId="4B8A5A33"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r w:rsidR="00E30AE6" w:rsidRPr="00A1739E" w14:paraId="52380AE8" w14:textId="77777777" w:rsidTr="00940A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tcPr>
          <w:p w14:paraId="0C216C49" w14:textId="3EC0E478" w:rsidR="00E30AE6" w:rsidRPr="008037D1" w:rsidRDefault="00E30AE6" w:rsidP="008037D1">
            <w:pPr>
              <w:pStyle w:val="Tabletext"/>
              <w:rPr>
                <w:rFonts w:eastAsia="Times"/>
                <w:lang w:val="en-AU"/>
              </w:rPr>
            </w:pPr>
            <w:r w:rsidRPr="00A1739E">
              <w:rPr>
                <w:rFonts w:eastAsia="Times"/>
                <w:b/>
              </w:rPr>
              <w:t>E2</w:t>
            </w:r>
            <w:r w:rsidR="00E72F87" w:rsidRPr="00A1739E">
              <w:rPr>
                <w:rFonts w:eastAsia="Times"/>
              </w:rPr>
              <w:t xml:space="preserve">: </w:t>
            </w:r>
            <w:r w:rsidRPr="00A1739E">
              <w:rPr>
                <w:rFonts w:eastAsia="Times"/>
              </w:rPr>
              <w:t>Total energy usage from electricity (MJ)</w:t>
            </w:r>
          </w:p>
          <w:p w14:paraId="7943DDD2" w14:textId="4FADBBEA" w:rsidR="00E30AE6" w:rsidRPr="008037D1" w:rsidRDefault="00E30AE6" w:rsidP="008037D1">
            <w:pPr>
              <w:pStyle w:val="Tablebullet1"/>
              <w:rPr>
                <w:rFonts w:eastAsia="Times"/>
                <w:lang w:val="en-AU"/>
              </w:rPr>
            </w:pPr>
            <w:r w:rsidRPr="00A1739E">
              <w:rPr>
                <w:rFonts w:eastAsia="Times"/>
              </w:rPr>
              <w:t>Reported through the EDMS</w:t>
            </w:r>
          </w:p>
        </w:tc>
        <w:tc>
          <w:tcPr>
            <w:tcW w:w="3054" w:type="dxa"/>
          </w:tcPr>
          <w:p w14:paraId="44C5B056" w14:textId="5052C41A"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No segmentation</w:t>
            </w:r>
          </w:p>
        </w:tc>
        <w:tc>
          <w:tcPr>
            <w:tcW w:w="3546" w:type="dxa"/>
            <w:gridSpan w:val="2"/>
          </w:tcPr>
          <w:p w14:paraId="6F0A9D92" w14:textId="42D857CE"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Convert data from EL1 from MWh to MJ</w:t>
            </w:r>
          </w:p>
          <w:p w14:paraId="054BCB13" w14:textId="4BEEEA5F"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EDMS can calculate this data.</w:t>
            </w:r>
          </w:p>
        </w:tc>
        <w:tc>
          <w:tcPr>
            <w:tcW w:w="1134" w:type="dxa"/>
          </w:tcPr>
          <w:p w14:paraId="47BA5412" w14:textId="109FDD73"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r w:rsidR="00E30AE6" w:rsidRPr="00A1739E" w14:paraId="41DBE03E" w14:textId="77777777" w:rsidTr="00940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tcPr>
          <w:p w14:paraId="4B07545A" w14:textId="55425D2A" w:rsidR="00E30AE6" w:rsidRPr="008037D1" w:rsidRDefault="00E30AE6" w:rsidP="008037D1">
            <w:pPr>
              <w:pStyle w:val="Tabletext"/>
              <w:rPr>
                <w:rFonts w:eastAsia="Times"/>
                <w:lang w:val="en-AU"/>
              </w:rPr>
            </w:pPr>
            <w:r w:rsidRPr="00A1739E">
              <w:rPr>
                <w:rFonts w:eastAsia="Times"/>
                <w:b/>
              </w:rPr>
              <w:t>E3</w:t>
            </w:r>
            <w:r w:rsidR="00E72F87" w:rsidRPr="00A1739E">
              <w:rPr>
                <w:rFonts w:eastAsia="Times"/>
              </w:rPr>
              <w:t xml:space="preserve">: </w:t>
            </w:r>
            <w:r w:rsidRPr="00A1739E">
              <w:rPr>
                <w:rFonts w:eastAsia="Times"/>
              </w:rPr>
              <w:t>Total energy usage (MJ)</w:t>
            </w:r>
          </w:p>
          <w:p w14:paraId="733BD403" w14:textId="1B4426E3" w:rsidR="00E30AE6" w:rsidRPr="008037D1" w:rsidRDefault="00E30AE6" w:rsidP="008037D1">
            <w:pPr>
              <w:pStyle w:val="Tablebullet1"/>
              <w:rPr>
                <w:rFonts w:eastAsia="Times"/>
                <w:lang w:val="en-AU"/>
              </w:rPr>
            </w:pPr>
            <w:r w:rsidRPr="00A1739E">
              <w:rPr>
                <w:rFonts w:eastAsia="Times"/>
              </w:rPr>
              <w:t>Reported through the EDMS</w:t>
            </w:r>
          </w:p>
        </w:tc>
        <w:tc>
          <w:tcPr>
            <w:tcW w:w="3054" w:type="dxa"/>
          </w:tcPr>
          <w:p w14:paraId="594176B1" w14:textId="209489B0"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Segmented into renewable and non-renewable sources</w:t>
            </w:r>
          </w:p>
        </w:tc>
        <w:tc>
          <w:tcPr>
            <w:tcW w:w="3546" w:type="dxa"/>
            <w:gridSpan w:val="2"/>
          </w:tcPr>
          <w:p w14:paraId="3F734B07" w14:textId="70E4F105"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Sum data from E1 and E2</w:t>
            </w:r>
          </w:p>
          <w:p w14:paraId="45122682" w14:textId="41419E5C"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EDMS can calculate this data</w:t>
            </w:r>
          </w:p>
          <w:p w14:paraId="597F5F37" w14:textId="77777777" w:rsidR="00E1770B" w:rsidRDefault="00E30AE6">
            <w:pPr>
              <w:pStyle w:val="Tablebullet1"/>
              <w:cnfStyle w:val="000000100000" w:firstRow="0" w:lastRow="0" w:firstColumn="0" w:lastColumn="0" w:oddVBand="0" w:evenVBand="0" w:oddHBand="1" w:evenHBand="0" w:firstRowFirstColumn="0" w:firstRowLastColumn="0" w:lastRowFirstColumn="0" w:lastRowLastColumn="0"/>
              <w:rPr>
                <w:lang w:val="en-AU"/>
              </w:rPr>
            </w:pPr>
            <w:r w:rsidRPr="00A1739E">
              <w:t>Calculate renewable electricity consumption using the same Climate Active rules for Scope 2 emissions accounting, including</w:t>
            </w:r>
            <w:r w:rsidR="00E1770B">
              <w:rPr>
                <w:lang w:val="en-AU"/>
              </w:rPr>
              <w:t>:</w:t>
            </w:r>
          </w:p>
          <w:p w14:paraId="047353D8" w14:textId="7D72F9C1" w:rsidR="00E1770B" w:rsidRDefault="00E30AE6" w:rsidP="00E1770B">
            <w:pPr>
              <w:pStyle w:val="Tablebullet2"/>
              <w:cnfStyle w:val="000000100000" w:firstRow="0" w:lastRow="0" w:firstColumn="0" w:lastColumn="0" w:oddVBand="0" w:evenVBand="0" w:oddHBand="1" w:evenHBand="0" w:firstRowFirstColumn="0" w:firstRowLastColumn="0" w:lastRowFirstColumn="0" w:lastRowLastColumn="0"/>
              <w:rPr>
                <w:lang w:val="en-AU"/>
              </w:rPr>
            </w:pPr>
            <w:r w:rsidRPr="00A1739E">
              <w:t>self-generated renewables</w:t>
            </w:r>
          </w:p>
          <w:p w14:paraId="6ED89715" w14:textId="3EE452A1" w:rsidR="00E1770B" w:rsidRDefault="00E30AE6" w:rsidP="00E1770B">
            <w:pPr>
              <w:pStyle w:val="Tablebullet2"/>
              <w:cnfStyle w:val="000000100000" w:firstRow="0" w:lastRow="0" w:firstColumn="0" w:lastColumn="0" w:oddVBand="0" w:evenVBand="0" w:oddHBand="1" w:evenHBand="0" w:firstRowFirstColumn="0" w:firstRowLastColumn="0" w:lastRowFirstColumn="0" w:lastRowLastColumn="0"/>
              <w:rPr>
                <w:lang w:val="en-AU"/>
              </w:rPr>
            </w:pPr>
            <w:proofErr w:type="spellStart"/>
            <w:r w:rsidRPr="00A1739E">
              <w:t>GreenPower</w:t>
            </w:r>
            <w:proofErr w:type="spellEnd"/>
          </w:p>
          <w:p w14:paraId="40886609" w14:textId="15868FC6" w:rsidR="00E1770B" w:rsidRDefault="00E30AE6" w:rsidP="00E1770B">
            <w:pPr>
              <w:pStyle w:val="Tablebullet2"/>
              <w:cnfStyle w:val="000000100000" w:firstRow="0" w:lastRow="0" w:firstColumn="0" w:lastColumn="0" w:oddVBand="0" w:evenVBand="0" w:oddHBand="1" w:evenHBand="0" w:firstRowFirstColumn="0" w:firstRowLastColumn="0" w:lastRowFirstColumn="0" w:lastRowLastColumn="0"/>
              <w:rPr>
                <w:lang w:val="en-AU"/>
              </w:rPr>
            </w:pPr>
            <w:r w:rsidRPr="00A1739E">
              <w:t>LGCs</w:t>
            </w:r>
          </w:p>
          <w:p w14:paraId="645C1055" w14:textId="22520B4E" w:rsidR="00E30AE6" w:rsidRPr="008037D1" w:rsidRDefault="00E30AE6"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renewable power percentage</w:t>
            </w:r>
          </w:p>
          <w:p w14:paraId="3AEB752E" w14:textId="0288D7BB"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Calculate renewable fuel use by including any use of biodiesel, renewable biomass and renewable hydrogen</w:t>
            </w:r>
            <w:r w:rsidR="00E1770B">
              <w:rPr>
                <w:lang w:val="en-AU"/>
              </w:rPr>
              <w:t xml:space="preserve"> –</w:t>
            </w:r>
            <w:r w:rsidRPr="008037D1">
              <w:rPr>
                <w:rFonts w:eastAsia="Times New Roman"/>
              </w:rPr>
              <w:t xml:space="preserve"> if any of these are known</w:t>
            </w:r>
          </w:p>
        </w:tc>
        <w:tc>
          <w:tcPr>
            <w:tcW w:w="1134" w:type="dxa"/>
          </w:tcPr>
          <w:p w14:paraId="75FB398D" w14:textId="6982ACAD"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r w:rsidR="00E30AE6" w:rsidRPr="00A1739E" w14:paraId="38B57DFA" w14:textId="77777777" w:rsidTr="00940A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tcPr>
          <w:p w14:paraId="2B36747B" w14:textId="75E10CE9" w:rsidR="00E30AE6" w:rsidRPr="008037D1" w:rsidRDefault="00E30AE6" w:rsidP="008037D1">
            <w:pPr>
              <w:pStyle w:val="Tabletext"/>
              <w:rPr>
                <w:rFonts w:eastAsia="Times"/>
                <w:lang w:val="en-AU"/>
              </w:rPr>
            </w:pPr>
            <w:r w:rsidRPr="00A1739E">
              <w:rPr>
                <w:rFonts w:eastAsia="Times"/>
                <w:b/>
              </w:rPr>
              <w:t>E4</w:t>
            </w:r>
            <w:r w:rsidR="00E72F87" w:rsidRPr="00A1739E">
              <w:rPr>
                <w:rFonts w:eastAsia="Times"/>
              </w:rPr>
              <w:t xml:space="preserve">: </w:t>
            </w:r>
            <w:r w:rsidRPr="00A1739E">
              <w:rPr>
                <w:rFonts w:eastAsia="Times"/>
              </w:rPr>
              <w:t>Units of energy used</w:t>
            </w:r>
            <w:r w:rsidR="00E1770B">
              <w:rPr>
                <w:rFonts w:eastAsia="Times"/>
                <w:lang w:val="en-AU"/>
              </w:rPr>
              <w:t>,</w:t>
            </w:r>
            <w:r w:rsidRPr="00A1739E">
              <w:rPr>
                <w:rFonts w:eastAsia="Times"/>
              </w:rPr>
              <w:t xml:space="preserve"> </w:t>
            </w:r>
            <w:proofErr w:type="spellStart"/>
            <w:r w:rsidRPr="00A1739E">
              <w:rPr>
                <w:rFonts w:eastAsia="Times"/>
              </w:rPr>
              <w:t>normalised</w:t>
            </w:r>
            <w:proofErr w:type="spellEnd"/>
            <w:r w:rsidRPr="00A1739E">
              <w:rPr>
                <w:rFonts w:eastAsia="Times"/>
              </w:rPr>
              <w:t xml:space="preserve"> by FTE, headcount, floor area or other entity</w:t>
            </w:r>
            <w:r w:rsidR="00E72F87" w:rsidRPr="00A1739E">
              <w:rPr>
                <w:rFonts w:eastAsia="Times"/>
              </w:rPr>
              <w:t>-</w:t>
            </w:r>
            <w:r w:rsidRPr="00A1739E">
              <w:rPr>
                <w:rFonts w:eastAsia="Times"/>
              </w:rPr>
              <w:t xml:space="preserve"> or sector</w:t>
            </w:r>
            <w:r w:rsidR="00E1770B">
              <w:rPr>
                <w:rFonts w:eastAsia="Times"/>
                <w:lang w:val="en-AU"/>
              </w:rPr>
              <w:noBreakHyphen/>
            </w:r>
            <w:r w:rsidRPr="00A1739E">
              <w:rPr>
                <w:rFonts w:eastAsia="Times"/>
              </w:rPr>
              <w:t>specific quantity (MJ</w:t>
            </w:r>
            <w:r w:rsidR="00F255F3" w:rsidRPr="00A1739E">
              <w:rPr>
                <w:rFonts w:eastAsia="Times"/>
              </w:rPr>
              <w:t>/</w:t>
            </w:r>
            <w:proofErr w:type="spellStart"/>
            <w:r w:rsidRPr="00A1739E">
              <w:rPr>
                <w:rFonts w:eastAsia="Times"/>
              </w:rPr>
              <w:t>normalisation</w:t>
            </w:r>
            <w:proofErr w:type="spellEnd"/>
            <w:r w:rsidRPr="00A1739E">
              <w:rPr>
                <w:rFonts w:eastAsia="Times"/>
              </w:rPr>
              <w:t>)</w:t>
            </w:r>
          </w:p>
          <w:p w14:paraId="631F50DF" w14:textId="4052BF68" w:rsidR="00E30AE6" w:rsidRPr="008037D1" w:rsidRDefault="00E30AE6" w:rsidP="008037D1">
            <w:pPr>
              <w:pStyle w:val="Tablebullet1"/>
              <w:rPr>
                <w:rFonts w:eastAsia="Times"/>
                <w:lang w:val="en-AU"/>
              </w:rPr>
            </w:pPr>
            <w:r w:rsidRPr="00A1739E">
              <w:rPr>
                <w:rFonts w:eastAsia="Times"/>
              </w:rPr>
              <w:t>Reported through the EDMS</w:t>
            </w:r>
          </w:p>
        </w:tc>
        <w:tc>
          <w:tcPr>
            <w:tcW w:w="3054" w:type="dxa"/>
          </w:tcPr>
          <w:p w14:paraId="436E7213"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No segmentation.</w:t>
            </w:r>
          </w:p>
          <w:p w14:paraId="7F1B0E6D" w14:textId="61033386"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8037D1">
              <w:rPr>
                <w:rFonts w:eastAsia="Times"/>
                <w:b/>
                <w:bCs/>
              </w:rPr>
              <w:t>Note</w:t>
            </w:r>
            <w:r w:rsidRPr="00A1739E">
              <w:rPr>
                <w:rFonts w:eastAsia="Times"/>
              </w:rPr>
              <w:t xml:space="preserve">: </w:t>
            </w:r>
            <w:r w:rsidR="006F4490" w:rsidRPr="00A1739E">
              <w:rPr>
                <w:rFonts w:eastAsia="Times"/>
              </w:rPr>
              <w:t xml:space="preserve">If </w:t>
            </w:r>
            <w:r w:rsidRPr="00A1739E">
              <w:rPr>
                <w:rFonts w:eastAsia="Times"/>
              </w:rPr>
              <w:t xml:space="preserve">floor space is used for </w:t>
            </w:r>
            <w:proofErr w:type="spellStart"/>
            <w:r w:rsidRPr="00A1739E">
              <w:rPr>
                <w:rFonts w:eastAsia="Times"/>
              </w:rPr>
              <w:t>normalisation</w:t>
            </w:r>
            <w:proofErr w:type="spellEnd"/>
            <w:r w:rsidRPr="00A1739E">
              <w:rPr>
                <w:rFonts w:eastAsia="Times"/>
              </w:rPr>
              <w:t xml:space="preserve">, include footnotes explaining steps for using an appropriate all energy </w:t>
            </w:r>
            <w:proofErr w:type="spellStart"/>
            <w:r w:rsidRPr="00A1739E">
              <w:rPr>
                <w:rFonts w:eastAsia="Times"/>
              </w:rPr>
              <w:t>normalisation</w:t>
            </w:r>
            <w:proofErr w:type="spellEnd"/>
            <w:r w:rsidR="00E1770B">
              <w:rPr>
                <w:rFonts w:eastAsia="Times"/>
                <w:lang w:val="en-AU"/>
              </w:rPr>
              <w:t xml:space="preserve"> </w:t>
            </w:r>
            <w:r w:rsidR="00E1770B" w:rsidRPr="00D61957">
              <w:rPr>
                <w:rFonts w:eastAsia="Times"/>
                <w:lang w:val="en-AU"/>
              </w:rPr>
              <w:t xml:space="preserve">(or at least normalised transport fuels) </w:t>
            </w:r>
            <w:r w:rsidRPr="00A1739E">
              <w:rPr>
                <w:rFonts w:eastAsia="Times"/>
              </w:rPr>
              <w:t>in the future.</w:t>
            </w:r>
          </w:p>
        </w:tc>
        <w:tc>
          <w:tcPr>
            <w:tcW w:w="3546" w:type="dxa"/>
            <w:gridSpan w:val="2"/>
          </w:tcPr>
          <w:p w14:paraId="078F6304" w14:textId="7207B948"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 xml:space="preserve">Divide the total for </w:t>
            </w:r>
            <w:r w:rsidRPr="008037D1">
              <w:rPr>
                <w:rStyle w:val="Strong"/>
                <w:rFonts w:eastAsia="Times New Roman"/>
              </w:rPr>
              <w:t>E3</w:t>
            </w:r>
            <w:r w:rsidRPr="00A1739E">
              <w:rPr>
                <w:rFonts w:eastAsia="Times"/>
              </w:rPr>
              <w:t xml:space="preserve"> by your chosen </w:t>
            </w:r>
            <w:proofErr w:type="spellStart"/>
            <w:r w:rsidRPr="00A1739E">
              <w:rPr>
                <w:rFonts w:eastAsia="Times"/>
              </w:rPr>
              <w:t>normalisation</w:t>
            </w:r>
            <w:proofErr w:type="spellEnd"/>
            <w:r w:rsidR="00025D8C" w:rsidRPr="00A1739E">
              <w:rPr>
                <w:rFonts w:eastAsia="Times"/>
              </w:rPr>
              <w:t xml:space="preserve"> (s</w:t>
            </w:r>
            <w:r w:rsidRPr="00A1739E">
              <w:rPr>
                <w:rFonts w:eastAsia="Times"/>
              </w:rPr>
              <w:t xml:space="preserve">ee </w:t>
            </w:r>
            <w:hyperlink w:anchor="_Appendix_D:_Normalising" w:history="1">
              <w:r w:rsidR="00E1770B" w:rsidRPr="008037D1">
                <w:rPr>
                  <w:rStyle w:val="Hyperlink"/>
                  <w:rFonts w:eastAsia="Times"/>
                  <w:b/>
                  <w:bCs/>
                  <w:u w:val="single"/>
                </w:rPr>
                <w:fldChar w:fldCharType="begin"/>
              </w:r>
              <w:r w:rsidR="00E1770B" w:rsidRPr="008037D1">
                <w:rPr>
                  <w:b/>
                  <w:bCs/>
                  <w:u w:val="single"/>
                </w:rPr>
                <w:instrText xml:space="preserve"> REF _Ref137653391 \h </w:instrText>
              </w:r>
              <w:r w:rsidR="00E1770B" w:rsidRPr="008037D1">
                <w:rPr>
                  <w:rStyle w:val="Hyperlink"/>
                  <w:rFonts w:eastAsia="Times"/>
                  <w:b/>
                  <w:bCs/>
                  <w:u w:val="single"/>
                </w:rPr>
                <w:instrText xml:space="preserve"> \* MERGEFORMAT </w:instrText>
              </w:r>
              <w:r w:rsidR="00E1770B" w:rsidRPr="008037D1">
                <w:rPr>
                  <w:rStyle w:val="Hyperlink"/>
                  <w:rFonts w:eastAsia="Times"/>
                  <w:b/>
                  <w:bCs/>
                  <w:u w:val="single"/>
                </w:rPr>
              </w:r>
              <w:r w:rsidR="00E1770B" w:rsidRPr="008037D1">
                <w:rPr>
                  <w:rStyle w:val="Hyperlink"/>
                  <w:rFonts w:eastAsia="Times"/>
                  <w:b/>
                  <w:bCs/>
                  <w:u w:val="single"/>
                </w:rPr>
                <w:fldChar w:fldCharType="separate"/>
              </w:r>
              <w:r w:rsidR="00C52465" w:rsidRPr="008037D1">
                <w:rPr>
                  <w:rFonts w:eastAsia="Times"/>
                  <w:b/>
                  <w:bCs/>
                  <w:u w:val="single"/>
                </w:rPr>
                <w:t xml:space="preserve">Appendix </w:t>
              </w:r>
              <w:r w:rsidR="00C52465" w:rsidRPr="008037D1">
                <w:rPr>
                  <w:b/>
                  <w:bCs/>
                  <w:u w:val="single"/>
                </w:rPr>
                <w:t>D</w:t>
              </w:r>
              <w:r w:rsidR="00C52465" w:rsidRPr="008037D1">
                <w:rPr>
                  <w:rFonts w:eastAsia="Times"/>
                  <w:b/>
                  <w:bCs/>
                  <w:u w:val="single"/>
                </w:rPr>
                <w:t xml:space="preserve">: </w:t>
              </w:r>
              <w:r w:rsidR="00C52465" w:rsidRPr="008037D1">
                <w:rPr>
                  <w:b/>
                  <w:bCs/>
                  <w:u w:val="single"/>
                </w:rPr>
                <w:t>Normalising factors and benchmarks</w:t>
              </w:r>
              <w:r w:rsidR="00E1770B" w:rsidRPr="008037D1">
                <w:rPr>
                  <w:rStyle w:val="Hyperlink"/>
                  <w:rFonts w:eastAsia="Times"/>
                  <w:b/>
                  <w:bCs/>
                  <w:u w:val="single"/>
                </w:rPr>
                <w:fldChar w:fldCharType="end"/>
              </w:r>
            </w:hyperlink>
            <w:r w:rsidR="00025D8C" w:rsidRPr="00A1739E">
              <w:rPr>
                <w:rFonts w:eastAsia="Times"/>
              </w:rPr>
              <w:t>)</w:t>
            </w:r>
          </w:p>
          <w:p w14:paraId="22D64475" w14:textId="77777777"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EDMS can calculate this data (only for stationary energy)</w:t>
            </w:r>
          </w:p>
        </w:tc>
        <w:tc>
          <w:tcPr>
            <w:tcW w:w="1134" w:type="dxa"/>
          </w:tcPr>
          <w:p w14:paraId="110CF23B" w14:textId="0BF26FDB"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A1739E">
              <w:rPr>
                <w:rFonts w:eastAsia="Times"/>
              </w:rPr>
              <w:t>Tier</w:t>
            </w:r>
            <w:r w:rsidR="00A8366F">
              <w:rPr>
                <w:rFonts w:eastAsia="Times"/>
                <w:lang w:val="en-AU"/>
              </w:rPr>
              <w:t>s</w:t>
            </w:r>
            <w:r w:rsidRPr="00A1739E">
              <w:rPr>
                <w:rFonts w:eastAsia="Times"/>
              </w:rPr>
              <w:t xml:space="preserve"> 2 and 3a</w:t>
            </w:r>
          </w:p>
        </w:tc>
      </w:tr>
    </w:tbl>
    <w:p w14:paraId="1385D07D" w14:textId="77777777" w:rsidR="001D7BDF" w:rsidRDefault="001D7BDF">
      <w:pPr>
        <w:spacing w:after="0" w:line="240" w:lineRule="auto"/>
        <w:rPr>
          <w:rFonts w:eastAsia="Times"/>
        </w:rPr>
      </w:pPr>
      <w:r>
        <w:br w:type="page"/>
      </w:r>
    </w:p>
    <w:p w14:paraId="2EB8D7D0" w14:textId="06D201A8" w:rsidR="00FE44F7" w:rsidRDefault="00FE44F7" w:rsidP="008037D1">
      <w:pPr>
        <w:pStyle w:val="Heading2"/>
        <w:numPr>
          <w:ilvl w:val="1"/>
          <w:numId w:val="91"/>
        </w:numPr>
      </w:pPr>
      <w:bookmarkStart w:id="62" w:name="_Toc137566832"/>
      <w:bookmarkStart w:id="63" w:name="_Toc137721912"/>
      <w:bookmarkStart w:id="64" w:name="_Toc137727414"/>
      <w:bookmarkStart w:id="65" w:name="_Toc138239124"/>
      <w:bookmarkEnd w:id="62"/>
      <w:bookmarkEnd w:id="63"/>
      <w:bookmarkEnd w:id="64"/>
      <w:r>
        <w:t>Sustainable buildings and infrastructure</w:t>
      </w:r>
      <w:bookmarkEnd w:id="65"/>
    </w:p>
    <w:p w14:paraId="176E4984" w14:textId="5045A872" w:rsidR="00A1739E" w:rsidRDefault="00A1739E" w:rsidP="008037D1">
      <w:pPr>
        <w:pStyle w:val="Tablecaption"/>
      </w:pPr>
      <w:r>
        <w:t xml:space="preserve">Table </w:t>
      </w:r>
      <w:fldSimple w:instr=" SEQ Table \* ARABIC ">
        <w:r w:rsidR="00C52465">
          <w:rPr>
            <w:noProof/>
          </w:rPr>
          <w:t>6</w:t>
        </w:r>
      </w:fldSimple>
      <w:r>
        <w:t xml:space="preserve">: </w:t>
      </w:r>
      <w:r w:rsidRPr="00D60134">
        <w:t>Sustainable buildings and infrastructure</w:t>
      </w:r>
      <w:r>
        <w:t xml:space="preserve"> indicators</w:t>
      </w:r>
    </w:p>
    <w:tbl>
      <w:tblPr>
        <w:tblStyle w:val="Bluetable"/>
        <w:tblW w:w="9634" w:type="dxa"/>
        <w:tblInd w:w="5" w:type="dxa"/>
        <w:tblLayout w:type="fixed"/>
        <w:tblLook w:val="04A0" w:firstRow="1" w:lastRow="0" w:firstColumn="1" w:lastColumn="0" w:noHBand="0" w:noVBand="1"/>
      </w:tblPr>
      <w:tblGrid>
        <w:gridCol w:w="2405"/>
        <w:gridCol w:w="3119"/>
        <w:gridCol w:w="2693"/>
        <w:gridCol w:w="1417"/>
      </w:tblGrid>
      <w:tr w:rsidR="00FE44F7" w:rsidRPr="0061313C" w14:paraId="02CB2A94" w14:textId="77777777" w:rsidTr="00325C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043C0BA6" w14:textId="77777777" w:rsidR="00FE44F7" w:rsidRPr="008037D1" w:rsidRDefault="00FE44F7" w:rsidP="006F4490">
            <w:pPr>
              <w:pStyle w:val="Tablecolhead"/>
              <w:rPr>
                <w:lang w:val="en-AU"/>
              </w:rPr>
            </w:pPr>
            <w:r w:rsidRPr="0061313C">
              <w:t>Indicator</w:t>
            </w:r>
          </w:p>
        </w:tc>
        <w:tc>
          <w:tcPr>
            <w:tcW w:w="3119" w:type="dxa"/>
          </w:tcPr>
          <w:p w14:paraId="0E97A4EB" w14:textId="77777777" w:rsidR="00FE44F7" w:rsidRPr="008037D1" w:rsidRDefault="00FE44F7" w:rsidP="006F449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1313C">
              <w:t>Segmentation</w:t>
            </w:r>
          </w:p>
        </w:tc>
        <w:tc>
          <w:tcPr>
            <w:tcW w:w="2693" w:type="dxa"/>
          </w:tcPr>
          <w:p w14:paraId="6A9E7507" w14:textId="77777777" w:rsidR="00FE44F7" w:rsidRPr="008037D1" w:rsidRDefault="00FE44F7" w:rsidP="006F449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1313C">
              <w:t>Data sources</w:t>
            </w:r>
          </w:p>
        </w:tc>
        <w:tc>
          <w:tcPr>
            <w:tcW w:w="1417" w:type="dxa"/>
          </w:tcPr>
          <w:p w14:paraId="5BFC8D72" w14:textId="449AC78D" w:rsidR="00FE44F7" w:rsidRPr="008037D1" w:rsidRDefault="00F302D5" w:rsidP="006F4490">
            <w:pPr>
              <w:pStyle w:val="Tablecolhead"/>
              <w:cnfStyle w:val="100000000000" w:firstRow="1" w:lastRow="0" w:firstColumn="0" w:lastColumn="0" w:oddVBand="0" w:evenVBand="0" w:oddHBand="0" w:evenHBand="0" w:firstRowFirstColumn="0" w:firstRowLastColumn="0" w:lastRowFirstColumn="0" w:lastRowLastColumn="0"/>
              <w:rPr>
                <w:lang w:val="en-AU"/>
              </w:rPr>
            </w:pPr>
            <w:r>
              <w:t>Tier</w:t>
            </w:r>
          </w:p>
        </w:tc>
      </w:tr>
      <w:tr w:rsidR="00FE44F7" w:rsidRPr="0061313C" w14:paraId="142B39A2" w14:textId="77777777" w:rsidTr="003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24489F2" w14:textId="78C9E336" w:rsidR="004C04DA" w:rsidRPr="008037D1" w:rsidRDefault="00FE44F7" w:rsidP="008037D1">
            <w:pPr>
              <w:pStyle w:val="Tabletext"/>
              <w:rPr>
                <w:lang w:val="en-AU"/>
              </w:rPr>
            </w:pPr>
            <w:r w:rsidRPr="0061313C">
              <w:rPr>
                <w:b/>
              </w:rPr>
              <w:t>B1</w:t>
            </w:r>
            <w:r w:rsidR="006F4490" w:rsidRPr="0061313C">
              <w:t xml:space="preserve">: </w:t>
            </w:r>
            <w:r w:rsidRPr="0061313C">
              <w:t>Discuss how environmentally sustainable design</w:t>
            </w:r>
            <w:r w:rsidR="00A47932" w:rsidRPr="0061313C">
              <w:t xml:space="preserve"> (ESD)</w:t>
            </w:r>
            <w:r w:rsidRPr="0061313C">
              <w:t xml:space="preserve"> is incorporated into newly completed entity-owned buildings</w:t>
            </w:r>
          </w:p>
          <w:p w14:paraId="056B6FD5" w14:textId="741E7C29" w:rsidR="003A3948" w:rsidRPr="008037D1" w:rsidRDefault="006F4490" w:rsidP="008037D1">
            <w:pPr>
              <w:pStyle w:val="Tablebullet1"/>
              <w:rPr>
                <w:lang w:val="en-AU"/>
              </w:rPr>
            </w:pPr>
            <w:r w:rsidRPr="008037D1">
              <w:rPr>
                <w:rStyle w:val="Strong"/>
                <w:rFonts w:eastAsia="Times New Roman"/>
              </w:rPr>
              <w:t>Not</w:t>
            </w:r>
            <w:r w:rsidRPr="008037D1">
              <w:rPr>
                <w:rFonts w:eastAsia="Times New Roman"/>
              </w:rPr>
              <w:t xml:space="preserve"> </w:t>
            </w:r>
            <w:r w:rsidR="003A3948" w:rsidRPr="008037D1">
              <w:rPr>
                <w:rFonts w:eastAsia="Times New Roman"/>
              </w:rPr>
              <w:t xml:space="preserve">reported through the EDMS </w:t>
            </w:r>
          </w:p>
          <w:p w14:paraId="472D3347" w14:textId="226E8830" w:rsidR="00641371" w:rsidRPr="008037D1" w:rsidRDefault="00AF2FB4" w:rsidP="008037D1">
            <w:pPr>
              <w:pStyle w:val="Tablebullet1"/>
              <w:rPr>
                <w:lang w:val="en-AU"/>
              </w:rPr>
            </w:pPr>
            <w:r w:rsidRPr="008037D1">
              <w:rPr>
                <w:rFonts w:eastAsia="Times New Roman"/>
              </w:rPr>
              <w:t>Needs t</w:t>
            </w:r>
            <w:r w:rsidR="001A2D92" w:rsidRPr="008037D1">
              <w:rPr>
                <w:rFonts w:eastAsia="Times New Roman"/>
              </w:rPr>
              <w:t xml:space="preserve">o be reported </w:t>
            </w:r>
            <w:r w:rsidRPr="008037D1">
              <w:rPr>
                <w:rFonts w:eastAsia="Times New Roman"/>
              </w:rPr>
              <w:t>independently</w:t>
            </w:r>
            <w:r w:rsidR="001A2D92" w:rsidRPr="008037D1">
              <w:rPr>
                <w:rFonts w:eastAsia="Times New Roman"/>
              </w:rPr>
              <w:t xml:space="preserve"> </w:t>
            </w:r>
            <w:r w:rsidR="00361CED" w:rsidRPr="008037D1">
              <w:rPr>
                <w:rFonts w:eastAsia="Times New Roman"/>
              </w:rPr>
              <w:t>by entities</w:t>
            </w:r>
          </w:p>
        </w:tc>
        <w:tc>
          <w:tcPr>
            <w:tcW w:w="3119" w:type="dxa"/>
          </w:tcPr>
          <w:p w14:paraId="7BA59687" w14:textId="777A7ACB" w:rsidR="006F4490" w:rsidRPr="008037D1" w:rsidRDefault="00FE44F7" w:rsidP="006F4490">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b/>
                <w:bCs/>
                <w:szCs w:val="20"/>
                <w:lang w:val="en-AU"/>
              </w:rPr>
              <w:t>Qualitative indicator</w:t>
            </w:r>
            <w:r w:rsidR="00EB3495" w:rsidRPr="0061313C">
              <w:t>:</w:t>
            </w:r>
            <w:r w:rsidRPr="008037D1">
              <w:rPr>
                <w:szCs w:val="20"/>
                <w:lang w:val="en-AU"/>
              </w:rPr>
              <w:t xml:space="preserve"> explore how ESD is incorporated into your building policy, handbooks, construction requirements </w:t>
            </w:r>
            <w:r w:rsidR="00EB3495" w:rsidRPr="0061313C">
              <w:t>and so on</w:t>
            </w:r>
            <w:r w:rsidRPr="008037D1">
              <w:rPr>
                <w:szCs w:val="20"/>
                <w:lang w:val="en-AU"/>
              </w:rPr>
              <w:t>.</w:t>
            </w:r>
          </w:p>
          <w:p w14:paraId="2C14F786" w14:textId="3428DD2C" w:rsidR="00FE44F7" w:rsidRPr="008037D1" w:rsidRDefault="00EB3495" w:rsidP="006F4490">
            <w:pPr>
              <w:pStyle w:val="Tabletext"/>
              <w:cnfStyle w:val="000000100000" w:firstRow="0" w:lastRow="0" w:firstColumn="0" w:lastColumn="0" w:oddVBand="0" w:evenVBand="0" w:oddHBand="1" w:evenHBand="0" w:firstRowFirstColumn="0" w:firstRowLastColumn="0" w:lastRowFirstColumn="0" w:lastRowLastColumn="0"/>
              <w:rPr>
                <w:lang w:val="en-AU"/>
              </w:rPr>
            </w:pPr>
            <w:r w:rsidRPr="0061313C">
              <w:t>While y</w:t>
            </w:r>
            <w:proofErr w:type="spellStart"/>
            <w:r w:rsidR="00FE44F7" w:rsidRPr="008037D1">
              <w:rPr>
                <w:szCs w:val="20"/>
                <w:lang w:val="en-AU"/>
              </w:rPr>
              <w:t>ou</w:t>
            </w:r>
            <w:proofErr w:type="spellEnd"/>
            <w:r w:rsidR="00FE44F7" w:rsidRPr="008037D1">
              <w:rPr>
                <w:szCs w:val="20"/>
                <w:lang w:val="en-AU"/>
              </w:rPr>
              <w:t xml:space="preserve"> may </w:t>
            </w:r>
            <w:r w:rsidRPr="0061313C">
              <w:t xml:space="preserve">use </w:t>
            </w:r>
            <w:r w:rsidR="00FE44F7" w:rsidRPr="008037D1">
              <w:rPr>
                <w:szCs w:val="20"/>
                <w:lang w:val="en-AU"/>
              </w:rPr>
              <w:t>individual projects</w:t>
            </w:r>
            <w:r w:rsidRPr="0061313C">
              <w:t xml:space="preserve"> to show this</w:t>
            </w:r>
            <w:r w:rsidR="00FE44F7" w:rsidRPr="008037D1">
              <w:rPr>
                <w:szCs w:val="20"/>
                <w:lang w:val="en-AU"/>
              </w:rPr>
              <w:t xml:space="preserve">, </w:t>
            </w:r>
            <w:r w:rsidRPr="0061313C">
              <w:t>the focus</w:t>
            </w:r>
            <w:r w:rsidR="00FE44F7" w:rsidRPr="008037D1">
              <w:rPr>
                <w:szCs w:val="20"/>
                <w:lang w:val="en-AU"/>
              </w:rPr>
              <w:t xml:space="preserve"> should be </w:t>
            </w:r>
            <w:r w:rsidRPr="0061313C">
              <w:t xml:space="preserve">on </w:t>
            </w:r>
            <w:r w:rsidR="00FE44F7" w:rsidRPr="008037D1">
              <w:rPr>
                <w:szCs w:val="20"/>
                <w:lang w:val="en-AU"/>
              </w:rPr>
              <w:t xml:space="preserve">how you ensure all projects </w:t>
            </w:r>
            <w:r w:rsidRPr="0061313C">
              <w:t>meet</w:t>
            </w:r>
            <w:r w:rsidRPr="008037D1">
              <w:rPr>
                <w:szCs w:val="20"/>
                <w:lang w:val="en-AU"/>
              </w:rPr>
              <w:t xml:space="preserve"> </w:t>
            </w:r>
            <w:r w:rsidR="00FE44F7" w:rsidRPr="008037D1">
              <w:rPr>
                <w:szCs w:val="20"/>
                <w:lang w:val="en-AU"/>
              </w:rPr>
              <w:t>ESD objectives.</w:t>
            </w:r>
            <w:r w:rsidR="00010496" w:rsidRPr="008037D1">
              <w:rPr>
                <w:szCs w:val="20"/>
                <w:lang w:val="en-AU"/>
              </w:rPr>
              <w:t xml:space="preserve"> </w:t>
            </w:r>
          </w:p>
        </w:tc>
        <w:tc>
          <w:tcPr>
            <w:tcW w:w="2693" w:type="dxa"/>
          </w:tcPr>
          <w:p w14:paraId="4CADEE3C" w14:textId="590E3165" w:rsidR="00B20C02" w:rsidRDefault="00B20C02"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Where your agency </w:t>
            </w:r>
            <w:r w:rsidR="00045516">
              <w:rPr>
                <w:lang w:val="en-AU"/>
              </w:rPr>
              <w:t xml:space="preserve">has projects </w:t>
            </w:r>
            <w:r w:rsidR="00EC087E">
              <w:rPr>
                <w:lang w:val="en-AU"/>
              </w:rPr>
              <w:t xml:space="preserve">developed for </w:t>
            </w:r>
            <w:r w:rsidR="00FA61C8">
              <w:rPr>
                <w:lang w:val="en-AU"/>
              </w:rPr>
              <w:t>it by the Victorian Health Building Authority (VHBA)</w:t>
            </w:r>
            <w:r w:rsidR="00B64897">
              <w:rPr>
                <w:lang w:val="en-AU"/>
              </w:rPr>
              <w:t xml:space="preserve">, some suggested </w:t>
            </w:r>
            <w:r w:rsidR="00683A8C">
              <w:rPr>
                <w:lang w:val="en-AU"/>
              </w:rPr>
              <w:t xml:space="preserve">wording </w:t>
            </w:r>
            <w:r w:rsidR="00C438AC">
              <w:rPr>
                <w:lang w:val="en-AU"/>
              </w:rPr>
              <w:t xml:space="preserve">that you can use </w:t>
            </w:r>
            <w:r w:rsidR="00683A8C">
              <w:rPr>
                <w:lang w:val="en-AU"/>
              </w:rPr>
              <w:t>includes</w:t>
            </w:r>
            <w:r w:rsidR="002568F8">
              <w:rPr>
                <w:lang w:val="en-AU"/>
              </w:rPr>
              <w:t xml:space="preserve"> (where applicable):</w:t>
            </w:r>
            <w:r w:rsidR="00573440" w:rsidRPr="00227074">
              <w:rPr>
                <w:rStyle w:val="FootnoteReference"/>
                <w:rFonts w:cs="Arial"/>
                <w:i/>
                <w:iCs/>
                <w:szCs w:val="21"/>
              </w:rPr>
              <w:footnoteReference w:id="6"/>
            </w:r>
          </w:p>
          <w:p w14:paraId="7F81AFA1" w14:textId="2E4D78B8" w:rsidR="006A6CEA"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046E87">
              <w:rPr>
                <w:lang w:val="en-AU"/>
              </w:rPr>
              <w:t xml:space="preserve">2.5 </w:t>
            </w:r>
            <w:r w:rsidR="00C9218B">
              <w:rPr>
                <w:lang w:val="en-AU"/>
              </w:rPr>
              <w:t xml:space="preserve">per cent of the total </w:t>
            </w:r>
            <w:r w:rsidR="007A3464">
              <w:rPr>
                <w:lang w:val="en-AU"/>
              </w:rPr>
              <w:t xml:space="preserve">construction cost </w:t>
            </w:r>
            <w:r w:rsidR="0073725F">
              <w:rPr>
                <w:lang w:val="en-AU"/>
              </w:rPr>
              <w:t xml:space="preserve">was allocated </w:t>
            </w:r>
            <w:r w:rsidR="00D622BF">
              <w:rPr>
                <w:lang w:val="en-AU"/>
              </w:rPr>
              <w:t xml:space="preserve">to implement </w:t>
            </w:r>
            <w:r w:rsidR="000F5270">
              <w:rPr>
                <w:lang w:val="en-AU"/>
              </w:rPr>
              <w:t xml:space="preserve">enhanced </w:t>
            </w:r>
            <w:r w:rsidR="00C72723">
              <w:rPr>
                <w:lang w:val="en-AU"/>
              </w:rPr>
              <w:t xml:space="preserve">sustainability </w:t>
            </w:r>
            <w:r w:rsidR="0073739E">
              <w:rPr>
                <w:lang w:val="en-AU"/>
              </w:rPr>
              <w:t>features such as</w:t>
            </w:r>
            <w:r w:rsidR="00E56635">
              <w:rPr>
                <w:lang w:val="en-AU"/>
              </w:rPr>
              <w:t>…</w:t>
            </w:r>
            <w:r>
              <w:rPr>
                <w:lang w:val="en-AU"/>
              </w:rPr>
              <w:t>’</w:t>
            </w:r>
          </w:p>
          <w:p w14:paraId="7BA066A0" w14:textId="20255483" w:rsidR="00E56635"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3E5502">
              <w:rPr>
                <w:lang w:val="en-AU"/>
              </w:rPr>
              <w:t xml:space="preserve">minimum </w:t>
            </w:r>
            <w:r w:rsidR="00995FC9">
              <w:rPr>
                <w:lang w:val="en-AU"/>
              </w:rPr>
              <w:t xml:space="preserve">of 60 per </w:t>
            </w:r>
            <w:r w:rsidR="009012F3">
              <w:rPr>
                <w:lang w:val="en-AU"/>
              </w:rPr>
              <w:t xml:space="preserve">cent of the </w:t>
            </w:r>
            <w:r w:rsidR="00C916C2">
              <w:rPr>
                <w:lang w:val="en-AU"/>
              </w:rPr>
              <w:t xml:space="preserve">total roof </w:t>
            </w:r>
            <w:r w:rsidR="00430F2F">
              <w:rPr>
                <w:lang w:val="en-AU"/>
              </w:rPr>
              <w:t xml:space="preserve">area has been </w:t>
            </w:r>
            <w:r w:rsidR="003E4CA1">
              <w:rPr>
                <w:lang w:val="en-AU"/>
              </w:rPr>
              <w:t xml:space="preserve">dedicated </w:t>
            </w:r>
            <w:r w:rsidR="009C7A16">
              <w:rPr>
                <w:lang w:val="en-AU"/>
              </w:rPr>
              <w:t>to solar panels</w:t>
            </w:r>
            <w:r>
              <w:rPr>
                <w:lang w:val="en-AU"/>
              </w:rPr>
              <w:t>’</w:t>
            </w:r>
          </w:p>
          <w:p w14:paraId="46F42E0B" w14:textId="6F6824A5" w:rsidR="009C7A16"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351C9F">
              <w:rPr>
                <w:lang w:val="en-AU"/>
              </w:rPr>
              <w:t>local/</w:t>
            </w:r>
            <w:r w:rsidR="00090690">
              <w:rPr>
                <w:lang w:val="en-AU"/>
              </w:rPr>
              <w:t>indigenous</w:t>
            </w:r>
            <w:r w:rsidR="00633B63">
              <w:rPr>
                <w:lang w:val="en-AU"/>
              </w:rPr>
              <w:t xml:space="preserve"> vegetation </w:t>
            </w:r>
            <w:r w:rsidR="007120E5">
              <w:rPr>
                <w:lang w:val="en-AU"/>
              </w:rPr>
              <w:t xml:space="preserve">and biodiversity </w:t>
            </w:r>
            <w:r w:rsidR="000904AF">
              <w:rPr>
                <w:lang w:val="en-AU"/>
              </w:rPr>
              <w:t>has been increased</w:t>
            </w:r>
            <w:r>
              <w:rPr>
                <w:lang w:val="en-AU"/>
              </w:rPr>
              <w:t>’</w:t>
            </w:r>
          </w:p>
          <w:p w14:paraId="31FD9133" w14:textId="685FE197" w:rsidR="000904AF"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E32D2B">
              <w:rPr>
                <w:lang w:val="en-AU"/>
              </w:rPr>
              <w:t xml:space="preserve">recycled </w:t>
            </w:r>
            <w:r w:rsidR="00D848B2">
              <w:rPr>
                <w:lang w:val="en-AU"/>
              </w:rPr>
              <w:t xml:space="preserve">and natural materials </w:t>
            </w:r>
            <w:r w:rsidR="001853FB">
              <w:rPr>
                <w:lang w:val="en-AU"/>
              </w:rPr>
              <w:t>have been used</w:t>
            </w:r>
            <w:r>
              <w:rPr>
                <w:lang w:val="en-AU"/>
              </w:rPr>
              <w:t>’</w:t>
            </w:r>
          </w:p>
          <w:p w14:paraId="5368C3D6" w14:textId="3BAC0B2B" w:rsidR="001853FB"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A01586">
              <w:rPr>
                <w:lang w:val="en-AU"/>
              </w:rPr>
              <w:t xml:space="preserve">electric charging stations </w:t>
            </w:r>
            <w:r w:rsidR="00D83E17">
              <w:rPr>
                <w:lang w:val="en-AU"/>
              </w:rPr>
              <w:t xml:space="preserve">for vehicles </w:t>
            </w:r>
            <w:r w:rsidR="00230D5E">
              <w:rPr>
                <w:lang w:val="en-AU"/>
              </w:rPr>
              <w:t>has been installed</w:t>
            </w:r>
            <w:r>
              <w:rPr>
                <w:lang w:val="en-AU"/>
              </w:rPr>
              <w:t>’</w:t>
            </w:r>
          </w:p>
          <w:p w14:paraId="3C3D246E" w14:textId="246BC8D3" w:rsidR="00230D5E"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6B7EFF">
              <w:rPr>
                <w:lang w:val="en-AU"/>
              </w:rPr>
              <w:t xml:space="preserve">universal design </w:t>
            </w:r>
            <w:r w:rsidR="0099699B">
              <w:rPr>
                <w:lang w:val="en-AU"/>
              </w:rPr>
              <w:t xml:space="preserve">strategies were </w:t>
            </w:r>
            <w:r w:rsidR="000F1EA5">
              <w:rPr>
                <w:lang w:val="en-AU"/>
              </w:rPr>
              <w:t xml:space="preserve">used to ensure </w:t>
            </w:r>
            <w:r w:rsidR="00753748">
              <w:rPr>
                <w:lang w:val="en-AU"/>
              </w:rPr>
              <w:t>ease of access to all</w:t>
            </w:r>
            <w:r>
              <w:rPr>
                <w:lang w:val="en-AU"/>
              </w:rPr>
              <w:t>’</w:t>
            </w:r>
          </w:p>
          <w:p w14:paraId="0D80F4B5" w14:textId="3E94EAF2" w:rsidR="00753748"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F437F0">
              <w:rPr>
                <w:lang w:val="en-AU"/>
              </w:rPr>
              <w:t xml:space="preserve">water sensitive </w:t>
            </w:r>
            <w:r w:rsidR="00A01A39">
              <w:rPr>
                <w:lang w:val="en-AU"/>
              </w:rPr>
              <w:t xml:space="preserve">urban design strategies </w:t>
            </w:r>
            <w:r w:rsidR="00273905">
              <w:rPr>
                <w:lang w:val="en-AU"/>
              </w:rPr>
              <w:t xml:space="preserve">were used </w:t>
            </w:r>
            <w:r w:rsidR="00E271F9">
              <w:rPr>
                <w:lang w:val="en-AU"/>
              </w:rPr>
              <w:t xml:space="preserve">to reduce storm water </w:t>
            </w:r>
            <w:r w:rsidR="00696698">
              <w:rPr>
                <w:lang w:val="en-AU"/>
              </w:rPr>
              <w:t xml:space="preserve">runoff </w:t>
            </w:r>
            <w:r w:rsidR="009E5B99">
              <w:rPr>
                <w:lang w:val="en-AU"/>
              </w:rPr>
              <w:t xml:space="preserve">and decrease </w:t>
            </w:r>
            <w:r w:rsidR="00F17E39">
              <w:rPr>
                <w:lang w:val="en-AU"/>
              </w:rPr>
              <w:t>pollutants</w:t>
            </w:r>
            <w:r>
              <w:rPr>
                <w:lang w:val="en-AU"/>
              </w:rPr>
              <w:t>’</w:t>
            </w:r>
          </w:p>
          <w:p w14:paraId="175CFFDF" w14:textId="46734D23" w:rsidR="00F17E39" w:rsidRPr="006A6CEA" w:rsidRDefault="003B574D" w:rsidP="006A6CEA">
            <w:pPr>
              <w:pStyle w:val="Tablebullet2"/>
              <w:cnfStyle w:val="000000100000" w:firstRow="0" w:lastRow="0" w:firstColumn="0" w:lastColumn="0" w:oddVBand="0" w:evenVBand="0" w:oddHBand="1" w:evenHBand="0" w:firstRowFirstColumn="0" w:firstRowLastColumn="0" w:lastRowFirstColumn="0" w:lastRowLastColumn="0"/>
              <w:rPr>
                <w:lang w:val="en-AU"/>
              </w:rPr>
            </w:pPr>
            <w:r>
              <w:rPr>
                <w:lang w:val="en-AU"/>
              </w:rPr>
              <w:t>‘</w:t>
            </w:r>
            <w:r w:rsidR="003256EA">
              <w:rPr>
                <w:lang w:val="en-AU"/>
              </w:rPr>
              <w:t xml:space="preserve">timber </w:t>
            </w:r>
            <w:r w:rsidR="00942858">
              <w:rPr>
                <w:lang w:val="en-AU"/>
              </w:rPr>
              <w:t xml:space="preserve">was used </w:t>
            </w:r>
            <w:r w:rsidR="00365727">
              <w:rPr>
                <w:lang w:val="en-AU"/>
              </w:rPr>
              <w:t>for construction</w:t>
            </w:r>
            <w:r w:rsidR="001D3532">
              <w:rPr>
                <w:lang w:val="en-AU"/>
              </w:rPr>
              <w:t>’</w:t>
            </w:r>
            <w:r w:rsidR="00DE34DA">
              <w:rPr>
                <w:lang w:val="en-AU"/>
              </w:rPr>
              <w:t xml:space="preserve"> (if the building </w:t>
            </w:r>
            <w:r w:rsidR="00A500F6">
              <w:rPr>
                <w:lang w:val="en-AU"/>
              </w:rPr>
              <w:t xml:space="preserve">is under 25 </w:t>
            </w:r>
            <w:r w:rsidR="0081233D">
              <w:rPr>
                <w:lang w:val="en-AU"/>
              </w:rPr>
              <w:t>metres in height)</w:t>
            </w:r>
            <w:r w:rsidR="00510404">
              <w:rPr>
                <w:lang w:val="en-AU"/>
              </w:rPr>
              <w:t>.</w:t>
            </w:r>
          </w:p>
          <w:p w14:paraId="36EEDF80" w14:textId="7CFF9215" w:rsidR="00FE44F7" w:rsidRPr="008037D1" w:rsidRDefault="004369C9" w:rsidP="006F449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F535F9">
              <w:rPr>
                <w:lang w:val="en-AU"/>
              </w:rPr>
              <w:t xml:space="preserve">Where your agency </w:t>
            </w:r>
            <w:r w:rsidR="007A29DD" w:rsidRPr="00F535F9">
              <w:rPr>
                <w:lang w:val="en-AU"/>
              </w:rPr>
              <w:t xml:space="preserve">has funded </w:t>
            </w:r>
            <w:r w:rsidR="0061794C" w:rsidRPr="00F535F9">
              <w:rPr>
                <w:lang w:val="en-AU"/>
              </w:rPr>
              <w:t>its own infrastructure</w:t>
            </w:r>
            <w:r w:rsidR="005A5F57" w:rsidRPr="00F535F9">
              <w:rPr>
                <w:lang w:val="en-AU"/>
              </w:rPr>
              <w:t xml:space="preserve">, indicate any </w:t>
            </w:r>
            <w:r w:rsidR="00C7510A" w:rsidRPr="00F535F9">
              <w:rPr>
                <w:lang w:val="en-AU"/>
              </w:rPr>
              <w:t xml:space="preserve">sustainability </w:t>
            </w:r>
            <w:r w:rsidR="00CA22A0" w:rsidRPr="00F535F9">
              <w:rPr>
                <w:lang w:val="en-AU"/>
              </w:rPr>
              <w:t>initiatives</w:t>
            </w:r>
            <w:r w:rsidR="00E17D0B" w:rsidRPr="00F535F9">
              <w:rPr>
                <w:lang w:val="en-AU"/>
              </w:rPr>
              <w:t xml:space="preserve"> you have implemented. </w:t>
            </w:r>
            <w:r w:rsidR="004926D3" w:rsidRPr="00F535F9">
              <w:rPr>
                <w:lang w:val="en-AU"/>
              </w:rPr>
              <w:t xml:space="preserve">Reference agency </w:t>
            </w:r>
            <w:r w:rsidR="003C7573" w:rsidRPr="00F535F9">
              <w:rPr>
                <w:lang w:val="en-AU"/>
              </w:rPr>
              <w:t xml:space="preserve">construction, </w:t>
            </w:r>
            <w:r w:rsidR="00C12C09" w:rsidRPr="00F535F9">
              <w:rPr>
                <w:lang w:val="en-AU"/>
              </w:rPr>
              <w:t xml:space="preserve">capital works, </w:t>
            </w:r>
            <w:r w:rsidR="00647C84" w:rsidRPr="00F535F9">
              <w:rPr>
                <w:lang w:val="en-AU"/>
              </w:rPr>
              <w:t>procurement</w:t>
            </w:r>
            <w:r w:rsidR="00B63F12" w:rsidRPr="00F535F9">
              <w:rPr>
                <w:lang w:val="en-AU"/>
              </w:rPr>
              <w:t xml:space="preserve"> or </w:t>
            </w:r>
            <w:r w:rsidR="002E10FC">
              <w:rPr>
                <w:lang w:val="en-AU"/>
              </w:rPr>
              <w:t>a</w:t>
            </w:r>
            <w:r w:rsidR="00B63F12" w:rsidRPr="00F535F9">
              <w:rPr>
                <w:lang w:val="en-AU"/>
              </w:rPr>
              <w:t xml:space="preserve"> </w:t>
            </w:r>
            <w:r w:rsidR="00043CD1" w:rsidRPr="00F535F9">
              <w:rPr>
                <w:lang w:val="en-AU"/>
              </w:rPr>
              <w:t xml:space="preserve">policy </w:t>
            </w:r>
            <w:r w:rsidR="0076773E" w:rsidRPr="00F535F9">
              <w:rPr>
                <w:lang w:val="en-AU"/>
              </w:rPr>
              <w:t xml:space="preserve">related </w:t>
            </w:r>
            <w:r w:rsidR="00D00B0D" w:rsidRPr="00F535F9">
              <w:rPr>
                <w:lang w:val="en-AU"/>
              </w:rPr>
              <w:t xml:space="preserve">to environmentally </w:t>
            </w:r>
            <w:r w:rsidR="001B1A3A" w:rsidRPr="00F535F9">
              <w:rPr>
                <w:lang w:val="en-AU"/>
              </w:rPr>
              <w:t>sust</w:t>
            </w:r>
            <w:r w:rsidR="001012D8" w:rsidRPr="00F535F9">
              <w:rPr>
                <w:lang w:val="en-AU"/>
              </w:rPr>
              <w:t>ainability design.</w:t>
            </w:r>
          </w:p>
        </w:tc>
        <w:tc>
          <w:tcPr>
            <w:tcW w:w="1417" w:type="dxa"/>
          </w:tcPr>
          <w:p w14:paraId="05010BB8" w14:textId="7D38330A"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61313C">
              <w:t>Tier</w:t>
            </w:r>
            <w:r w:rsidR="0061313C" w:rsidRPr="0061313C">
              <w:t>s</w:t>
            </w:r>
            <w:r w:rsidRPr="0061313C">
              <w:t xml:space="preserve"> 2 and 3a</w:t>
            </w:r>
          </w:p>
        </w:tc>
      </w:tr>
      <w:tr w:rsidR="00FE44F7" w:rsidRPr="0061313C" w14:paraId="6B0E7736" w14:textId="77777777" w:rsidTr="00325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C65DC5" w14:textId="10D68A3B" w:rsidR="004C04DA" w:rsidRPr="008037D1" w:rsidRDefault="00FE44F7" w:rsidP="008037D1">
            <w:pPr>
              <w:pStyle w:val="Tabletext"/>
              <w:rPr>
                <w:lang w:val="en-AU"/>
              </w:rPr>
            </w:pPr>
            <w:r w:rsidRPr="0061313C">
              <w:rPr>
                <w:b/>
              </w:rPr>
              <w:t>B2</w:t>
            </w:r>
            <w:r w:rsidR="006F4490" w:rsidRPr="0061313C">
              <w:t xml:space="preserve">: </w:t>
            </w:r>
            <w:r w:rsidRPr="0061313C">
              <w:t xml:space="preserve">Discuss how new entity leases meet the requirement to </w:t>
            </w:r>
            <w:proofErr w:type="spellStart"/>
            <w:r w:rsidR="0061313C" w:rsidRPr="0061313C">
              <w:t>favour</w:t>
            </w:r>
            <w:proofErr w:type="spellEnd"/>
            <w:r w:rsidR="0061313C" w:rsidRPr="0061313C">
              <w:t xml:space="preserve"> </w:t>
            </w:r>
            <w:r w:rsidRPr="0061313C">
              <w:t xml:space="preserve">higher-rated office buildings and those with a </w:t>
            </w:r>
            <w:r w:rsidR="0061313C" w:rsidRPr="0061313C">
              <w:t>green lease schedule</w:t>
            </w:r>
          </w:p>
          <w:p w14:paraId="26A4A345" w14:textId="1181B4EE" w:rsidR="003A3948" w:rsidRPr="008037D1" w:rsidRDefault="006F4490" w:rsidP="008037D1">
            <w:pPr>
              <w:pStyle w:val="Tablebullet1"/>
              <w:rPr>
                <w:lang w:val="en-AU"/>
              </w:rPr>
            </w:pPr>
            <w:r w:rsidRPr="008037D1">
              <w:rPr>
                <w:rStyle w:val="Strong"/>
                <w:rFonts w:eastAsia="Times New Roman"/>
              </w:rPr>
              <w:t>Not</w:t>
            </w:r>
            <w:r w:rsidRPr="008037D1">
              <w:rPr>
                <w:rFonts w:eastAsia="Times New Roman"/>
              </w:rPr>
              <w:t xml:space="preserve"> </w:t>
            </w:r>
            <w:r w:rsidR="003A3948" w:rsidRPr="008037D1">
              <w:rPr>
                <w:rFonts w:eastAsia="Times New Roman"/>
              </w:rPr>
              <w:t xml:space="preserve">reported through the EDMS </w:t>
            </w:r>
          </w:p>
          <w:p w14:paraId="594EC0A2" w14:textId="4E261947" w:rsidR="004C04DA" w:rsidRPr="008037D1" w:rsidRDefault="005605DB" w:rsidP="008037D1">
            <w:pPr>
              <w:pStyle w:val="Tablebullet1"/>
              <w:rPr>
                <w:lang w:val="en-AU"/>
              </w:rPr>
            </w:pPr>
            <w:r w:rsidRPr="008037D1">
              <w:rPr>
                <w:rFonts w:eastAsia="Times New Roman"/>
              </w:rPr>
              <w:t>Needs to be reported independently by entities</w:t>
            </w:r>
          </w:p>
        </w:tc>
        <w:tc>
          <w:tcPr>
            <w:tcW w:w="3119" w:type="dxa"/>
          </w:tcPr>
          <w:p w14:paraId="0142C693" w14:textId="1EF9F56B"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szCs w:val="20"/>
                <w:lang w:val="en-AU"/>
              </w:rPr>
              <w:t>Qualitative indicator</w:t>
            </w:r>
            <w:r w:rsidR="00EB3495" w:rsidRPr="0061313C">
              <w:rPr>
                <w:szCs w:val="20"/>
                <w:lang w:val="en-AU"/>
              </w:rPr>
              <w:t>:</w:t>
            </w:r>
            <w:r w:rsidRPr="008037D1">
              <w:rPr>
                <w:szCs w:val="20"/>
                <w:lang w:val="en-AU"/>
              </w:rPr>
              <w:t xml:space="preserve"> explore how your leasing </w:t>
            </w:r>
            <w:r w:rsidR="00EB3495" w:rsidRPr="0061313C">
              <w:rPr>
                <w:szCs w:val="20"/>
                <w:lang w:val="en-AU"/>
              </w:rPr>
              <w:t>favours</w:t>
            </w:r>
            <w:r w:rsidR="00EB3495" w:rsidRPr="008037D1">
              <w:rPr>
                <w:szCs w:val="20"/>
                <w:lang w:val="en-AU"/>
              </w:rPr>
              <w:t xml:space="preserve"> </w:t>
            </w:r>
            <w:r w:rsidRPr="008037D1">
              <w:rPr>
                <w:szCs w:val="20"/>
                <w:lang w:val="en-AU"/>
              </w:rPr>
              <w:t xml:space="preserve">higher rated office buildings, including through using </w:t>
            </w:r>
            <w:r w:rsidR="0061313C" w:rsidRPr="0061313C">
              <w:rPr>
                <w:szCs w:val="20"/>
                <w:lang w:val="en-AU"/>
              </w:rPr>
              <w:t>green lease schedules</w:t>
            </w:r>
            <w:r w:rsidRPr="008037D1">
              <w:rPr>
                <w:szCs w:val="20"/>
                <w:lang w:val="en-AU"/>
              </w:rPr>
              <w:t>.</w:t>
            </w:r>
          </w:p>
        </w:tc>
        <w:tc>
          <w:tcPr>
            <w:tcW w:w="2693" w:type="dxa"/>
          </w:tcPr>
          <w:p w14:paraId="21BE9484" w14:textId="1BF456F4" w:rsidR="00FE44F7" w:rsidRPr="008037D1" w:rsidRDefault="00FE44F7"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61313C">
              <w:t>Refer</w:t>
            </w:r>
            <w:r w:rsidR="0061313C" w:rsidRPr="0061313C">
              <w:rPr>
                <w:lang w:val="en-AU"/>
              </w:rPr>
              <w:t xml:space="preserve"> to</w:t>
            </w:r>
            <w:r w:rsidRPr="0061313C">
              <w:t xml:space="preserve"> agency accommodation or procurement policy or practices </w:t>
            </w:r>
            <w:r w:rsidR="0061313C" w:rsidRPr="0061313C">
              <w:rPr>
                <w:lang w:val="en-AU"/>
              </w:rPr>
              <w:t>around</w:t>
            </w:r>
            <w:r w:rsidR="0061313C" w:rsidRPr="0061313C">
              <w:t xml:space="preserve"> </w:t>
            </w:r>
            <w:r w:rsidRPr="0061313C">
              <w:t>leasing.</w:t>
            </w:r>
          </w:p>
        </w:tc>
        <w:tc>
          <w:tcPr>
            <w:tcW w:w="1417" w:type="dxa"/>
          </w:tcPr>
          <w:p w14:paraId="275460B3" w14:textId="7BCD862F"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61313C">
              <w:t>Tier</w:t>
            </w:r>
            <w:r w:rsidR="0061313C" w:rsidRPr="0061313C">
              <w:t>s</w:t>
            </w:r>
            <w:r w:rsidRPr="0061313C">
              <w:t xml:space="preserve"> 2 and 3a</w:t>
            </w:r>
          </w:p>
        </w:tc>
      </w:tr>
      <w:tr w:rsidR="00164C23" w:rsidRPr="0061313C" w14:paraId="5C22C2E1" w14:textId="77777777" w:rsidTr="003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7C981C" w14:textId="66C13307" w:rsidR="00164C23" w:rsidRPr="008037D1" w:rsidRDefault="00164C23" w:rsidP="008037D1">
            <w:pPr>
              <w:pStyle w:val="Tabletext"/>
              <w:rPr>
                <w:lang w:val="en-AU"/>
              </w:rPr>
            </w:pPr>
            <w:r w:rsidRPr="0061313C">
              <w:rPr>
                <w:b/>
              </w:rPr>
              <w:t>B3</w:t>
            </w:r>
            <w:r w:rsidR="006F4490" w:rsidRPr="0061313C">
              <w:rPr>
                <w:b/>
              </w:rPr>
              <w:t xml:space="preserve">: </w:t>
            </w:r>
            <w:r w:rsidR="000D012C" w:rsidRPr="0061313C">
              <w:t xml:space="preserve">NABERS </w:t>
            </w:r>
            <w:r w:rsidR="0061313C">
              <w:rPr>
                <w:lang w:val="en-AU"/>
              </w:rPr>
              <w:t>e</w:t>
            </w:r>
            <w:proofErr w:type="spellStart"/>
            <w:r w:rsidR="000D012C" w:rsidRPr="0061313C">
              <w:t>nergy</w:t>
            </w:r>
            <w:proofErr w:type="spellEnd"/>
            <w:r w:rsidR="000D012C" w:rsidRPr="0061313C">
              <w:t xml:space="preserve"> ratings of newly completed</w:t>
            </w:r>
            <w:r w:rsidR="006F4490" w:rsidRPr="0061313C">
              <w:t xml:space="preserve"> or </w:t>
            </w:r>
            <w:r w:rsidR="000D012C" w:rsidRPr="0061313C">
              <w:t>occupied entity</w:t>
            </w:r>
            <w:r w:rsidR="006F4490" w:rsidRPr="0061313C">
              <w:noBreakHyphen/>
            </w:r>
            <w:r w:rsidR="000D012C" w:rsidRPr="0061313C">
              <w:t xml:space="preserve">owned office buildings and substantial tenancy </w:t>
            </w:r>
            <w:proofErr w:type="spellStart"/>
            <w:r w:rsidR="000D012C" w:rsidRPr="0061313C">
              <w:t>fitouts</w:t>
            </w:r>
            <w:proofErr w:type="spellEnd"/>
          </w:p>
          <w:p w14:paraId="58D75807" w14:textId="1CCF72DB" w:rsidR="00D75418" w:rsidRPr="008037D1" w:rsidRDefault="006F4490" w:rsidP="008037D1">
            <w:pPr>
              <w:pStyle w:val="Tablebullet1"/>
              <w:rPr>
                <w:lang w:val="en-AU"/>
              </w:rPr>
            </w:pPr>
            <w:r w:rsidRPr="008037D1">
              <w:rPr>
                <w:rStyle w:val="Strong"/>
              </w:rPr>
              <w:t>Not</w:t>
            </w:r>
            <w:r w:rsidRPr="0061313C">
              <w:t xml:space="preserve"> </w:t>
            </w:r>
            <w:r w:rsidR="00D75418" w:rsidRPr="008037D1">
              <w:t>reported</w:t>
            </w:r>
            <w:r w:rsidR="00D75418" w:rsidRPr="0061313C">
              <w:t xml:space="preserve"> through the EDMS </w:t>
            </w:r>
          </w:p>
          <w:p w14:paraId="36DD163B" w14:textId="247C8A6E" w:rsidR="00D75418" w:rsidRPr="008037D1" w:rsidRDefault="00D75418" w:rsidP="008037D1">
            <w:pPr>
              <w:pStyle w:val="Tablebullet1"/>
              <w:rPr>
                <w:lang w:val="en-AU"/>
              </w:rPr>
            </w:pPr>
            <w:r w:rsidRPr="0061313C">
              <w:t>Needs to be reported independently by entities</w:t>
            </w:r>
          </w:p>
        </w:tc>
        <w:tc>
          <w:tcPr>
            <w:tcW w:w="3119" w:type="dxa"/>
          </w:tcPr>
          <w:p w14:paraId="40BD5F17" w14:textId="77777777" w:rsidR="0061313C" w:rsidRDefault="00BC4049" w:rsidP="006F4490">
            <w:pPr>
              <w:pStyle w:val="Tabletext"/>
              <w:cnfStyle w:val="000000100000" w:firstRow="0" w:lastRow="0" w:firstColumn="0" w:lastColumn="0" w:oddVBand="0" w:evenVBand="0" w:oddHBand="1" w:evenHBand="0" w:firstRowFirstColumn="0" w:firstRowLastColumn="0" w:lastRowFirstColumn="0" w:lastRowLastColumn="0"/>
              <w:rPr>
                <w:szCs w:val="20"/>
                <w:lang w:val="en-AU"/>
              </w:rPr>
            </w:pPr>
            <w:r w:rsidRPr="008037D1">
              <w:rPr>
                <w:szCs w:val="20"/>
                <w:lang w:val="en-AU"/>
              </w:rPr>
              <w:t>Itemised list of the NABERS ratings.</w:t>
            </w:r>
          </w:p>
          <w:p w14:paraId="5AAAA77B" w14:textId="10A4FAD7" w:rsidR="00164C23" w:rsidRPr="008037D1" w:rsidRDefault="00BC4049" w:rsidP="006F4490">
            <w:pPr>
              <w:pStyle w:val="Tabletext"/>
              <w:cnfStyle w:val="000000100000" w:firstRow="0" w:lastRow="0" w:firstColumn="0" w:lastColumn="0" w:oddVBand="0" w:evenVBand="0" w:oddHBand="1" w:evenHBand="0" w:firstRowFirstColumn="0" w:firstRowLastColumn="0" w:lastRowFirstColumn="0" w:lastRowLastColumn="0"/>
              <w:rPr>
                <w:szCs w:val="20"/>
                <w:lang w:val="en-AU"/>
              </w:rPr>
            </w:pPr>
            <w:r w:rsidRPr="008037D1">
              <w:rPr>
                <w:szCs w:val="20"/>
                <w:lang w:val="en-AU"/>
              </w:rPr>
              <w:t xml:space="preserve">This is only for new offices that you own or substantial tenancy </w:t>
            </w:r>
            <w:proofErr w:type="spellStart"/>
            <w:r w:rsidRPr="008037D1">
              <w:rPr>
                <w:szCs w:val="20"/>
                <w:lang w:val="en-AU"/>
              </w:rPr>
              <w:t>fitouts</w:t>
            </w:r>
            <w:proofErr w:type="spellEnd"/>
            <w:r w:rsidRPr="008037D1">
              <w:rPr>
                <w:szCs w:val="20"/>
                <w:lang w:val="en-AU"/>
              </w:rPr>
              <w:t>.</w:t>
            </w:r>
          </w:p>
        </w:tc>
        <w:tc>
          <w:tcPr>
            <w:tcW w:w="2693" w:type="dxa"/>
          </w:tcPr>
          <w:p w14:paraId="5FE7EF8D" w14:textId="042DB3D6" w:rsidR="00164C23" w:rsidRPr="008037D1" w:rsidRDefault="009C1958" w:rsidP="008037D1">
            <w:pPr>
              <w:pStyle w:val="Tablebullet1"/>
              <w:cnfStyle w:val="000000100000" w:firstRow="0" w:lastRow="0" w:firstColumn="0" w:lastColumn="0" w:oddVBand="0" w:evenVBand="0" w:oddHBand="1" w:evenHBand="0" w:firstRowFirstColumn="0" w:firstRowLastColumn="0" w:lastRowFirstColumn="0" w:lastRowLastColumn="0"/>
              <w:rPr>
                <w:rFonts w:cs="Arial"/>
                <w:szCs w:val="21"/>
                <w:lang w:val="en-AU"/>
              </w:rPr>
            </w:pPr>
            <w:r w:rsidRPr="00227074">
              <w:rPr>
                <w:szCs w:val="20"/>
              </w:rPr>
              <w:t>NABERS program</w:t>
            </w:r>
          </w:p>
        </w:tc>
        <w:tc>
          <w:tcPr>
            <w:tcW w:w="1417" w:type="dxa"/>
          </w:tcPr>
          <w:p w14:paraId="5FDDD434" w14:textId="4C409EA3" w:rsidR="00164C23" w:rsidRPr="008037D1" w:rsidRDefault="0074213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61313C">
              <w:t>Tier</w:t>
            </w:r>
            <w:r w:rsidR="0061313C" w:rsidRPr="0061313C">
              <w:t>s</w:t>
            </w:r>
            <w:r w:rsidRPr="0061313C">
              <w:t xml:space="preserve"> 2, 3a and 4</w:t>
            </w:r>
          </w:p>
        </w:tc>
      </w:tr>
      <w:tr w:rsidR="00FE44F7" w:rsidRPr="0061313C" w14:paraId="70BE5996" w14:textId="77777777" w:rsidTr="00325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577F04" w14:textId="45452761" w:rsidR="004706F1" w:rsidRPr="008037D1" w:rsidRDefault="00FE44F7" w:rsidP="008037D1">
            <w:pPr>
              <w:pStyle w:val="Tabletext"/>
              <w:rPr>
                <w:lang w:val="en-AU"/>
              </w:rPr>
            </w:pPr>
            <w:r w:rsidRPr="0061313C">
              <w:rPr>
                <w:b/>
              </w:rPr>
              <w:t>B4</w:t>
            </w:r>
            <w:r w:rsidR="006F4490" w:rsidRPr="0061313C">
              <w:t xml:space="preserve">: </w:t>
            </w:r>
            <w:r w:rsidRPr="0061313C">
              <w:t>Environmental performance ratings of newly completed entity</w:t>
            </w:r>
            <w:r w:rsidR="006F4490" w:rsidRPr="0061313C">
              <w:noBreakHyphen/>
            </w:r>
            <w:r w:rsidRPr="0061313C">
              <w:t>owned non</w:t>
            </w:r>
            <w:r w:rsidR="006F4490" w:rsidRPr="0061313C">
              <w:noBreakHyphen/>
            </w:r>
            <w:r w:rsidRPr="0061313C">
              <w:t>office building</w:t>
            </w:r>
            <w:r w:rsidR="0061313C">
              <w:rPr>
                <w:lang w:val="en-AU"/>
              </w:rPr>
              <w:t>,</w:t>
            </w:r>
            <w:r w:rsidRPr="0061313C">
              <w:t xml:space="preserve"> or </w:t>
            </w:r>
            <w:r w:rsidR="0061313C">
              <w:rPr>
                <w:lang w:val="en-AU"/>
              </w:rPr>
              <w:br/>
            </w:r>
            <w:r w:rsidRPr="0061313C">
              <w:t>infrastructure projects or upgrades over $1</w:t>
            </w:r>
            <w:r w:rsidR="006F4490" w:rsidRPr="0061313C">
              <w:t xml:space="preserve"> </w:t>
            </w:r>
            <w:r w:rsidRPr="0061313C">
              <w:t>million, where these ratings have been conducted</w:t>
            </w:r>
            <w:r w:rsidR="0061313C">
              <w:rPr>
                <w:lang w:val="en-AU"/>
              </w:rPr>
              <w:br/>
            </w:r>
            <w:r w:rsidR="0061313C" w:rsidRPr="00910933">
              <w:rPr>
                <w:lang w:val="en-AU"/>
              </w:rPr>
              <w:t>(</w:t>
            </w:r>
            <w:r w:rsidR="0061313C">
              <w:rPr>
                <w:lang w:val="en-AU"/>
              </w:rPr>
              <w:t>ratings like</w:t>
            </w:r>
            <w:r w:rsidR="0061313C" w:rsidRPr="00910933">
              <w:rPr>
                <w:lang w:val="en-AU"/>
              </w:rPr>
              <w:t xml:space="preserve"> NABERS, Green Star or Infrastructure Sustainability Council of Australia Infrastructure Sustainability rating scheme)</w:t>
            </w:r>
          </w:p>
          <w:p w14:paraId="284E49C0" w14:textId="31CE6DAA" w:rsidR="00564983" w:rsidRPr="008037D1" w:rsidRDefault="004706F1" w:rsidP="008037D1">
            <w:pPr>
              <w:pStyle w:val="Tablebullet1"/>
              <w:rPr>
                <w:lang w:val="en-AU"/>
              </w:rPr>
            </w:pPr>
            <w:r w:rsidRPr="00227074">
              <w:rPr>
                <w:szCs w:val="20"/>
              </w:rPr>
              <w:t>Reported through the EDMS</w:t>
            </w:r>
          </w:p>
        </w:tc>
        <w:tc>
          <w:tcPr>
            <w:tcW w:w="3119" w:type="dxa"/>
          </w:tcPr>
          <w:p w14:paraId="47DB7EB2" w14:textId="0E956A58" w:rsidR="00E8051E" w:rsidRPr="008037D1" w:rsidRDefault="0061313C" w:rsidP="006F4490">
            <w:pPr>
              <w:pStyle w:val="Tabletext"/>
              <w:cnfStyle w:val="000000010000" w:firstRow="0" w:lastRow="0" w:firstColumn="0" w:lastColumn="0" w:oddVBand="0" w:evenVBand="0" w:oddHBand="0" w:evenHBand="1" w:firstRowFirstColumn="0" w:firstRowLastColumn="0" w:lastRowFirstColumn="0" w:lastRowLastColumn="0"/>
              <w:rPr>
                <w:szCs w:val="20"/>
                <w:lang w:val="en-AU"/>
              </w:rPr>
            </w:pPr>
            <w:r>
              <w:rPr>
                <w:szCs w:val="20"/>
                <w:lang w:val="en-AU"/>
              </w:rPr>
              <w:t xml:space="preserve">Report rating of </w:t>
            </w:r>
            <w:r w:rsidR="006E18C7">
              <w:rPr>
                <w:szCs w:val="20"/>
                <w:lang w:val="en-AU"/>
              </w:rPr>
              <w:t xml:space="preserve">newly </w:t>
            </w:r>
            <w:r w:rsidR="00FE44F7" w:rsidRPr="008037D1">
              <w:rPr>
                <w:szCs w:val="20"/>
                <w:lang w:val="en-AU"/>
              </w:rPr>
              <w:t xml:space="preserve">built facility or infrastructure project or a major upgrade that you own </w:t>
            </w:r>
            <w:r w:rsidR="006E18C7">
              <w:rPr>
                <w:szCs w:val="20"/>
                <w:lang w:val="en-AU"/>
              </w:rPr>
              <w:t xml:space="preserve">– </w:t>
            </w:r>
            <w:r w:rsidR="00FE44F7" w:rsidRPr="008037D1">
              <w:rPr>
                <w:szCs w:val="20"/>
                <w:lang w:val="en-AU"/>
              </w:rPr>
              <w:t xml:space="preserve">if you </w:t>
            </w:r>
            <w:r w:rsidR="006E18C7">
              <w:rPr>
                <w:szCs w:val="20"/>
                <w:lang w:val="en-AU"/>
              </w:rPr>
              <w:t xml:space="preserve">had it </w:t>
            </w:r>
            <w:r w:rsidR="00FE44F7" w:rsidRPr="008037D1">
              <w:rPr>
                <w:szCs w:val="20"/>
                <w:lang w:val="en-AU"/>
              </w:rPr>
              <w:t>rat</w:t>
            </w:r>
            <w:r w:rsidR="006E18C7">
              <w:rPr>
                <w:szCs w:val="20"/>
                <w:lang w:val="en-AU"/>
              </w:rPr>
              <w:t>ed.</w:t>
            </w:r>
            <w:r w:rsidR="00FE44F7" w:rsidRPr="008037D1">
              <w:rPr>
                <w:szCs w:val="20"/>
                <w:lang w:val="en-AU"/>
              </w:rPr>
              <w:t xml:space="preserve"> This should be an itemised list</w:t>
            </w:r>
            <w:r w:rsidR="00A47932" w:rsidRPr="008037D1">
              <w:rPr>
                <w:szCs w:val="20"/>
                <w:lang w:val="en-AU"/>
              </w:rPr>
              <w:t>.</w:t>
            </w:r>
          </w:p>
          <w:p w14:paraId="428736EA" w14:textId="541E046D"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b/>
                <w:bCs/>
                <w:szCs w:val="20"/>
                <w:lang w:val="en-AU"/>
              </w:rPr>
              <w:t>Note</w:t>
            </w:r>
            <w:r w:rsidRPr="008037D1">
              <w:rPr>
                <w:szCs w:val="20"/>
                <w:lang w:val="en-AU"/>
              </w:rPr>
              <w:t xml:space="preserve">: entities </w:t>
            </w:r>
            <w:r w:rsidR="006E18C7">
              <w:rPr>
                <w:szCs w:val="20"/>
                <w:lang w:val="en-AU"/>
              </w:rPr>
              <w:t xml:space="preserve">do not have to get </w:t>
            </w:r>
            <w:r w:rsidRPr="008037D1">
              <w:rPr>
                <w:szCs w:val="20"/>
                <w:lang w:val="en-AU"/>
              </w:rPr>
              <w:t>ratings</w:t>
            </w:r>
            <w:r w:rsidR="006E18C7">
              <w:rPr>
                <w:szCs w:val="20"/>
                <w:lang w:val="en-AU"/>
              </w:rPr>
              <w:t>.</w:t>
            </w:r>
            <w:r w:rsidRPr="008037D1">
              <w:rPr>
                <w:szCs w:val="20"/>
                <w:lang w:val="en-AU"/>
              </w:rPr>
              <w:t xml:space="preserve"> </w:t>
            </w:r>
            <w:r w:rsidR="006E18C7">
              <w:rPr>
                <w:szCs w:val="20"/>
                <w:lang w:val="en-AU"/>
              </w:rPr>
              <w:t>R</w:t>
            </w:r>
            <w:r w:rsidRPr="008037D1">
              <w:rPr>
                <w:szCs w:val="20"/>
                <w:lang w:val="en-AU"/>
              </w:rPr>
              <w:t xml:space="preserve">eport </w:t>
            </w:r>
            <w:r w:rsidR="006E18C7">
              <w:rPr>
                <w:szCs w:val="20"/>
                <w:lang w:val="en-AU"/>
              </w:rPr>
              <w:t>ratings</w:t>
            </w:r>
            <w:r w:rsidR="006E18C7" w:rsidRPr="008037D1">
              <w:rPr>
                <w:szCs w:val="20"/>
                <w:lang w:val="en-AU"/>
              </w:rPr>
              <w:t xml:space="preserve"> </w:t>
            </w:r>
            <w:r w:rsidRPr="008037D1">
              <w:rPr>
                <w:szCs w:val="20"/>
                <w:lang w:val="en-AU"/>
              </w:rPr>
              <w:t xml:space="preserve">if </w:t>
            </w:r>
            <w:r w:rsidR="006E18C7">
              <w:rPr>
                <w:szCs w:val="20"/>
                <w:lang w:val="en-AU"/>
              </w:rPr>
              <w:t>you have them</w:t>
            </w:r>
            <w:r w:rsidR="00A47932" w:rsidRPr="008037D1">
              <w:rPr>
                <w:szCs w:val="20"/>
                <w:lang w:val="en-AU"/>
              </w:rPr>
              <w:t>.</w:t>
            </w:r>
          </w:p>
        </w:tc>
        <w:tc>
          <w:tcPr>
            <w:tcW w:w="2693" w:type="dxa"/>
          </w:tcPr>
          <w:p w14:paraId="63D640CC" w14:textId="661FF476" w:rsidR="00854704" w:rsidRPr="00854704" w:rsidRDefault="00854704" w:rsidP="00854704">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025C1F">
              <w:rPr>
                <w:rFonts w:eastAsia="Times"/>
              </w:rPr>
              <w:t xml:space="preserve">EDMS can upload this data (once the </w:t>
            </w:r>
            <w:r>
              <w:rPr>
                <w:rFonts w:eastAsia="Times"/>
                <w:lang w:val="en-AU"/>
              </w:rPr>
              <w:t xml:space="preserve">department </w:t>
            </w:r>
            <w:r w:rsidRPr="00025C1F">
              <w:rPr>
                <w:rFonts w:eastAsia="Times"/>
              </w:rPr>
              <w:t>collate</w:t>
            </w:r>
            <w:r>
              <w:rPr>
                <w:rFonts w:eastAsia="Times"/>
                <w:lang w:val="en-AU"/>
              </w:rPr>
              <w:t>s</w:t>
            </w:r>
            <w:r w:rsidRPr="00025C1F">
              <w:rPr>
                <w:rFonts w:eastAsia="Times"/>
              </w:rPr>
              <w:t xml:space="preserve"> and </w:t>
            </w:r>
            <w:r>
              <w:rPr>
                <w:rFonts w:eastAsia="Times"/>
                <w:lang w:val="en-AU"/>
              </w:rPr>
              <w:t xml:space="preserve">adds it </w:t>
            </w:r>
            <w:r w:rsidRPr="00025C1F">
              <w:rPr>
                <w:rFonts w:eastAsia="Times"/>
              </w:rPr>
              <w:t>to the system)</w:t>
            </w:r>
          </w:p>
          <w:p w14:paraId="58528938" w14:textId="78390D01" w:rsidR="00FE44F7" w:rsidRPr="008037D1" w:rsidRDefault="00FE44F7" w:rsidP="006F449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61313C">
              <w:t>NABERS program</w:t>
            </w:r>
          </w:p>
          <w:p w14:paraId="4DD016B0" w14:textId="01A5846E"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b/>
                <w:bCs/>
              </w:rPr>
              <w:t>Note</w:t>
            </w:r>
            <w:r w:rsidRPr="0061313C">
              <w:t xml:space="preserve">: NABERS </w:t>
            </w:r>
            <w:r w:rsidR="00B46AEB" w:rsidRPr="0061313C">
              <w:t>only</w:t>
            </w:r>
            <w:r w:rsidR="00EE7D33" w:rsidRPr="0061313C">
              <w:t xml:space="preserve"> rate</w:t>
            </w:r>
            <w:r w:rsidR="00B46AEB" w:rsidRPr="0061313C">
              <w:t>s</w:t>
            </w:r>
            <w:r w:rsidRPr="0061313C">
              <w:t xml:space="preserve"> new builds</w:t>
            </w:r>
            <w:r w:rsidR="00D97A79" w:rsidRPr="0061313C">
              <w:t xml:space="preserve"> </w:t>
            </w:r>
            <w:proofErr w:type="spellStart"/>
            <w:r w:rsidR="00B46AEB" w:rsidRPr="0061313C">
              <w:t>whe</w:t>
            </w:r>
            <w:proofErr w:type="spellEnd"/>
            <w:r w:rsidR="006E18C7">
              <w:rPr>
                <w:lang w:val="en-AU"/>
              </w:rPr>
              <w:t>n</w:t>
            </w:r>
            <w:r w:rsidR="00D97A79" w:rsidRPr="0061313C">
              <w:t xml:space="preserve"> they are a new</w:t>
            </w:r>
            <w:r w:rsidR="006E18C7">
              <w:rPr>
                <w:lang w:val="en-AU"/>
              </w:rPr>
              <w:t>, standalone</w:t>
            </w:r>
            <w:r w:rsidR="00D97A79" w:rsidRPr="0061313C">
              <w:t xml:space="preserve"> public hospital.</w:t>
            </w:r>
            <w:r w:rsidR="00B46AEB" w:rsidRPr="0061313C">
              <w:t xml:space="preserve"> Ratings are carried out for the first full</w:t>
            </w:r>
            <w:r w:rsidR="006E18C7">
              <w:rPr>
                <w:lang w:val="en-AU"/>
              </w:rPr>
              <w:t xml:space="preserve"> </w:t>
            </w:r>
            <w:r w:rsidR="00B46AEB" w:rsidRPr="0061313C">
              <w:t>financial year of operation.</w:t>
            </w:r>
          </w:p>
        </w:tc>
        <w:tc>
          <w:tcPr>
            <w:tcW w:w="1417" w:type="dxa"/>
          </w:tcPr>
          <w:p w14:paraId="43034D6E" w14:textId="055206E0"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61313C">
              <w:t>Tier</w:t>
            </w:r>
            <w:r w:rsidR="006E18C7">
              <w:rPr>
                <w:lang w:val="en-AU"/>
              </w:rPr>
              <w:t>s</w:t>
            </w:r>
            <w:r w:rsidRPr="0061313C">
              <w:t xml:space="preserve"> 2 and 3a</w:t>
            </w:r>
          </w:p>
        </w:tc>
      </w:tr>
      <w:tr w:rsidR="00FE44F7" w:rsidRPr="0061313C" w14:paraId="02CBF49F" w14:textId="77777777" w:rsidTr="003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2A77715" w14:textId="0C46E030" w:rsidR="00175C3C" w:rsidRPr="008037D1" w:rsidRDefault="00FE44F7" w:rsidP="008037D1">
            <w:pPr>
              <w:pStyle w:val="Tabletext"/>
              <w:rPr>
                <w:lang w:val="en-AU"/>
              </w:rPr>
            </w:pPr>
            <w:r w:rsidRPr="0061313C">
              <w:rPr>
                <w:b/>
              </w:rPr>
              <w:t>B5</w:t>
            </w:r>
            <w:r w:rsidR="006F4490" w:rsidRPr="0061313C">
              <w:t xml:space="preserve">: </w:t>
            </w:r>
            <w:r w:rsidRPr="0061313C">
              <w:t>Environmental performance ratings for entity</w:t>
            </w:r>
            <w:r w:rsidR="006F4490" w:rsidRPr="0061313C">
              <w:noBreakHyphen/>
            </w:r>
            <w:r w:rsidRPr="0061313C">
              <w:t>owned assets portfolio</w:t>
            </w:r>
            <w:r w:rsidR="006E18C7">
              <w:rPr>
                <w:lang w:val="en-AU"/>
              </w:rPr>
              <w:t>,</w:t>
            </w:r>
            <w:r w:rsidRPr="0061313C">
              <w:t xml:space="preserve"> segmented by rating scheme and building, facility or infrastructure type, where these ratings have been conducted</w:t>
            </w:r>
          </w:p>
          <w:p w14:paraId="517FCD85" w14:textId="167A0FD3" w:rsidR="00FE44F7" w:rsidRPr="008037D1" w:rsidRDefault="00175C3C" w:rsidP="008037D1">
            <w:pPr>
              <w:pStyle w:val="Tablebullet1"/>
              <w:rPr>
                <w:lang w:val="en-AU"/>
              </w:rPr>
            </w:pPr>
            <w:r w:rsidRPr="00227074">
              <w:rPr>
                <w:szCs w:val="20"/>
              </w:rPr>
              <w:t>Reported through the EDMS</w:t>
            </w:r>
          </w:p>
        </w:tc>
        <w:tc>
          <w:tcPr>
            <w:tcW w:w="3119" w:type="dxa"/>
          </w:tcPr>
          <w:p w14:paraId="2EFC553D" w14:textId="3F35C334" w:rsidR="00FE44F7" w:rsidRPr="008037D1" w:rsidRDefault="00FE44F7" w:rsidP="006F4490">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szCs w:val="20"/>
                <w:lang w:val="en-AU"/>
              </w:rPr>
              <w:t>Report all ratings for all assets</w:t>
            </w:r>
            <w:r w:rsidR="006E18C7">
              <w:rPr>
                <w:szCs w:val="20"/>
                <w:lang w:val="en-AU"/>
              </w:rPr>
              <w:t xml:space="preserve"> that have been assessed</w:t>
            </w:r>
            <w:r w:rsidRPr="008037D1">
              <w:rPr>
                <w:szCs w:val="20"/>
                <w:lang w:val="en-AU"/>
              </w:rPr>
              <w:t>. This can be an itemi</w:t>
            </w:r>
            <w:r w:rsidR="006E18C7">
              <w:rPr>
                <w:szCs w:val="20"/>
                <w:lang w:val="en-AU"/>
              </w:rPr>
              <w:t>s</w:t>
            </w:r>
            <w:r w:rsidRPr="008037D1">
              <w:rPr>
                <w:szCs w:val="20"/>
                <w:lang w:val="en-AU"/>
              </w:rPr>
              <w:t xml:space="preserve">ed list or the number of assets for each rating scheme and value. </w:t>
            </w:r>
          </w:p>
          <w:p w14:paraId="4C8D17FA" w14:textId="6D79B554" w:rsidR="00FE44F7" w:rsidRPr="008037D1" w:rsidRDefault="006E18C7" w:rsidP="003B66F6">
            <w:pPr>
              <w:pStyle w:val="Tabletext"/>
              <w:cnfStyle w:val="000000100000" w:firstRow="0" w:lastRow="0" w:firstColumn="0" w:lastColumn="0" w:oddVBand="0" w:evenVBand="0" w:oddHBand="1" w:evenHBand="0" w:firstRowFirstColumn="0" w:firstRowLastColumn="0" w:lastRowFirstColumn="0" w:lastRowLastColumn="0"/>
              <w:rPr>
                <w:rFonts w:cs="Arial"/>
                <w:szCs w:val="21"/>
                <w:lang w:val="en-AU"/>
              </w:rPr>
            </w:pPr>
            <w:r w:rsidRPr="00A838BF">
              <w:rPr>
                <w:b/>
                <w:bCs/>
                <w:szCs w:val="20"/>
                <w:lang w:val="en-AU"/>
              </w:rPr>
              <w:t>Note</w:t>
            </w:r>
            <w:r w:rsidRPr="00A838BF">
              <w:rPr>
                <w:szCs w:val="20"/>
                <w:lang w:val="en-AU"/>
              </w:rPr>
              <w:t xml:space="preserve">: entities </w:t>
            </w:r>
            <w:r>
              <w:rPr>
                <w:szCs w:val="20"/>
                <w:lang w:val="en-AU"/>
              </w:rPr>
              <w:t xml:space="preserve">do not have to get </w:t>
            </w:r>
            <w:r w:rsidRPr="00A838BF">
              <w:rPr>
                <w:szCs w:val="20"/>
                <w:lang w:val="en-AU"/>
              </w:rPr>
              <w:t>ratings</w:t>
            </w:r>
            <w:r>
              <w:rPr>
                <w:szCs w:val="20"/>
                <w:lang w:val="en-AU"/>
              </w:rPr>
              <w:t>.</w:t>
            </w:r>
            <w:r w:rsidRPr="00A838BF">
              <w:rPr>
                <w:szCs w:val="20"/>
                <w:lang w:val="en-AU"/>
              </w:rPr>
              <w:t xml:space="preserve"> </w:t>
            </w:r>
            <w:r>
              <w:rPr>
                <w:szCs w:val="20"/>
                <w:lang w:val="en-AU"/>
              </w:rPr>
              <w:t>R</w:t>
            </w:r>
            <w:r w:rsidRPr="00A838BF">
              <w:rPr>
                <w:szCs w:val="20"/>
                <w:lang w:val="en-AU"/>
              </w:rPr>
              <w:t xml:space="preserve">eport </w:t>
            </w:r>
            <w:r>
              <w:rPr>
                <w:szCs w:val="20"/>
                <w:lang w:val="en-AU"/>
              </w:rPr>
              <w:t>ratings</w:t>
            </w:r>
            <w:r w:rsidRPr="00A838BF">
              <w:rPr>
                <w:szCs w:val="20"/>
                <w:lang w:val="en-AU"/>
              </w:rPr>
              <w:t xml:space="preserve"> if </w:t>
            </w:r>
            <w:r>
              <w:rPr>
                <w:szCs w:val="20"/>
                <w:lang w:val="en-AU"/>
              </w:rPr>
              <w:t>you have them</w:t>
            </w:r>
            <w:r w:rsidR="00FE44F7" w:rsidRPr="008037D1">
              <w:rPr>
                <w:szCs w:val="20"/>
                <w:lang w:val="en-AU"/>
              </w:rPr>
              <w:t>.</w:t>
            </w:r>
          </w:p>
        </w:tc>
        <w:tc>
          <w:tcPr>
            <w:tcW w:w="2693" w:type="dxa"/>
          </w:tcPr>
          <w:p w14:paraId="051BE6E9" w14:textId="77777777" w:rsidR="00814DF1" w:rsidRPr="00854704" w:rsidRDefault="00814DF1" w:rsidP="00814DF1">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025C1F">
              <w:rPr>
                <w:rFonts w:eastAsia="Times"/>
              </w:rPr>
              <w:t xml:space="preserve">EDMS can upload this data (once the </w:t>
            </w:r>
            <w:r>
              <w:rPr>
                <w:rFonts w:eastAsia="Times"/>
                <w:lang w:val="en-AU"/>
              </w:rPr>
              <w:t xml:space="preserve">department </w:t>
            </w:r>
            <w:r w:rsidRPr="00025C1F">
              <w:rPr>
                <w:rFonts w:eastAsia="Times"/>
              </w:rPr>
              <w:t>collate</w:t>
            </w:r>
            <w:r>
              <w:rPr>
                <w:rFonts w:eastAsia="Times"/>
                <w:lang w:val="en-AU"/>
              </w:rPr>
              <w:t>s</w:t>
            </w:r>
            <w:r w:rsidRPr="00025C1F">
              <w:rPr>
                <w:rFonts w:eastAsia="Times"/>
              </w:rPr>
              <w:t xml:space="preserve"> and </w:t>
            </w:r>
            <w:r>
              <w:rPr>
                <w:rFonts w:eastAsia="Times"/>
                <w:lang w:val="en-AU"/>
              </w:rPr>
              <w:t xml:space="preserve">adds it </w:t>
            </w:r>
            <w:r w:rsidRPr="00025C1F">
              <w:rPr>
                <w:rFonts w:eastAsia="Times"/>
              </w:rPr>
              <w:t>to the system)</w:t>
            </w:r>
          </w:p>
          <w:p w14:paraId="5BDDB7B9" w14:textId="611E3EAC" w:rsidR="00FE44F7" w:rsidRPr="008037D1" w:rsidRDefault="006E18C7" w:rsidP="006F4490">
            <w:pPr>
              <w:pStyle w:val="Tablebullet1"/>
              <w:cnfStyle w:val="000000100000" w:firstRow="0" w:lastRow="0" w:firstColumn="0" w:lastColumn="0" w:oddVBand="0" w:evenVBand="0" w:oddHBand="1" w:evenHBand="0" w:firstRowFirstColumn="0" w:firstRowLastColumn="0" w:lastRowFirstColumn="0" w:lastRowLastColumn="0"/>
              <w:rPr>
                <w:lang w:val="en-AU"/>
              </w:rPr>
            </w:pPr>
            <w:r>
              <w:rPr>
                <w:lang w:val="en-AU"/>
              </w:rPr>
              <w:t>NABERS</w:t>
            </w:r>
            <w:r w:rsidR="00FE44F7" w:rsidRPr="0061313C">
              <w:t xml:space="preserve"> program</w:t>
            </w:r>
          </w:p>
          <w:p w14:paraId="1D25E515" w14:textId="6057263F"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b/>
                <w:bCs/>
              </w:rPr>
              <w:t>Note</w:t>
            </w:r>
            <w:r w:rsidRPr="0061313C">
              <w:t xml:space="preserve">: </w:t>
            </w:r>
            <w:r w:rsidR="006F4490" w:rsidRPr="0061313C">
              <w:t xml:space="preserve">The </w:t>
            </w:r>
            <w:r w:rsidRPr="0061313C">
              <w:t>2022-</w:t>
            </w:r>
            <w:r w:rsidR="006F4490" w:rsidRPr="0061313C">
              <w:t>20</w:t>
            </w:r>
            <w:r w:rsidRPr="0061313C">
              <w:t xml:space="preserve">23 NABERS </w:t>
            </w:r>
            <w:r w:rsidR="006E18C7" w:rsidRPr="006E18C7">
              <w:rPr>
                <w:lang w:val="en-AU"/>
              </w:rPr>
              <w:t xml:space="preserve">public hospitals </w:t>
            </w:r>
            <w:r w:rsidRPr="0061313C">
              <w:t>ratings will be available in late 2023 and will need to be reported in the 2023-</w:t>
            </w:r>
            <w:r w:rsidR="006F4490" w:rsidRPr="0061313C">
              <w:t>20</w:t>
            </w:r>
            <w:r w:rsidRPr="0061313C">
              <w:t>24 annual report</w:t>
            </w:r>
          </w:p>
        </w:tc>
        <w:tc>
          <w:tcPr>
            <w:tcW w:w="1417" w:type="dxa"/>
          </w:tcPr>
          <w:p w14:paraId="51D21066" w14:textId="1FE6AC3F"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61313C">
              <w:t>Tier 2</w:t>
            </w:r>
          </w:p>
        </w:tc>
      </w:tr>
    </w:tbl>
    <w:p w14:paraId="79BF7BDD" w14:textId="382127C5" w:rsidR="001D7BDF" w:rsidRDefault="001D7BDF" w:rsidP="001D7BDF">
      <w:pPr>
        <w:pStyle w:val="Body"/>
      </w:pPr>
    </w:p>
    <w:p w14:paraId="6AFF85E8" w14:textId="77777777" w:rsidR="001D7BDF" w:rsidRDefault="001D7BDF">
      <w:pPr>
        <w:spacing w:after="0" w:line="240" w:lineRule="auto"/>
        <w:rPr>
          <w:rFonts w:eastAsia="Times"/>
        </w:rPr>
      </w:pPr>
      <w:r>
        <w:br w:type="page"/>
      </w:r>
    </w:p>
    <w:p w14:paraId="20F841FE" w14:textId="3BD435F3" w:rsidR="00E30AE6" w:rsidRPr="00E30AE6" w:rsidRDefault="00E30AE6" w:rsidP="008037D1">
      <w:pPr>
        <w:pStyle w:val="Heading2"/>
        <w:numPr>
          <w:ilvl w:val="1"/>
          <w:numId w:val="91"/>
        </w:numPr>
        <w:rPr>
          <w:rFonts w:eastAsia="Times"/>
        </w:rPr>
      </w:pPr>
      <w:bookmarkStart w:id="66" w:name="_Toc137566834"/>
      <w:bookmarkStart w:id="67" w:name="_Toc137721914"/>
      <w:bookmarkStart w:id="68" w:name="_Toc137727416"/>
      <w:bookmarkStart w:id="69" w:name="_Toc138239125"/>
      <w:bookmarkEnd w:id="66"/>
      <w:bookmarkEnd w:id="67"/>
      <w:bookmarkEnd w:id="68"/>
      <w:r w:rsidRPr="00E30AE6">
        <w:rPr>
          <w:rFonts w:eastAsia="Times"/>
        </w:rPr>
        <w:t>Water consumption</w:t>
      </w:r>
      <w:bookmarkEnd w:id="69"/>
    </w:p>
    <w:p w14:paraId="56FA13BD" w14:textId="7A4CBEBE" w:rsidR="00A1739E" w:rsidRPr="00A1739E" w:rsidRDefault="00A1739E" w:rsidP="008037D1">
      <w:pPr>
        <w:pStyle w:val="Tablecaption"/>
      </w:pPr>
      <w:r>
        <w:t xml:space="preserve">Table </w:t>
      </w:r>
      <w:fldSimple w:instr=" SEQ Table \* ARABIC ">
        <w:r w:rsidR="00C52465">
          <w:rPr>
            <w:noProof/>
          </w:rPr>
          <w:t>7</w:t>
        </w:r>
      </w:fldSimple>
      <w:r>
        <w:t>: Water consumption indicators</w:t>
      </w:r>
    </w:p>
    <w:tbl>
      <w:tblPr>
        <w:tblStyle w:val="Bluetable"/>
        <w:tblW w:w="9634" w:type="dxa"/>
        <w:tblInd w:w="5" w:type="dxa"/>
        <w:tblLook w:val="04A0" w:firstRow="1" w:lastRow="0" w:firstColumn="1" w:lastColumn="0" w:noHBand="0" w:noVBand="1"/>
      </w:tblPr>
      <w:tblGrid>
        <w:gridCol w:w="1980"/>
        <w:gridCol w:w="2977"/>
        <w:gridCol w:w="3543"/>
        <w:gridCol w:w="1134"/>
      </w:tblGrid>
      <w:tr w:rsidR="00E30AE6" w:rsidRPr="003744F5" w14:paraId="0A3B912B" w14:textId="77777777" w:rsidTr="00A16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08805E" w14:textId="77777777" w:rsidR="00E30AE6" w:rsidRPr="008037D1" w:rsidRDefault="00E30AE6" w:rsidP="008037D1">
            <w:pPr>
              <w:pStyle w:val="Tablecolhead"/>
              <w:rPr>
                <w:lang w:val="en-AU"/>
              </w:rPr>
            </w:pPr>
            <w:r w:rsidRPr="008037D1">
              <w:rPr>
                <w:rFonts w:eastAsia="Times New Roman"/>
              </w:rPr>
              <w:t>Indicator</w:t>
            </w:r>
          </w:p>
        </w:tc>
        <w:tc>
          <w:tcPr>
            <w:tcW w:w="2977" w:type="dxa"/>
          </w:tcPr>
          <w:p w14:paraId="343180D9"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Segmentation</w:t>
            </w:r>
          </w:p>
        </w:tc>
        <w:tc>
          <w:tcPr>
            <w:tcW w:w="3543" w:type="dxa"/>
          </w:tcPr>
          <w:p w14:paraId="6A28D17B"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Data sources</w:t>
            </w:r>
          </w:p>
        </w:tc>
        <w:tc>
          <w:tcPr>
            <w:tcW w:w="1134" w:type="dxa"/>
          </w:tcPr>
          <w:p w14:paraId="3AF954EB" w14:textId="05009EED" w:rsidR="00E30AE6" w:rsidRPr="008037D1" w:rsidRDefault="008608BF"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Pr>
                <w:rFonts w:eastAsia="Times New Roman"/>
              </w:rPr>
              <w:t>Tier</w:t>
            </w:r>
          </w:p>
        </w:tc>
      </w:tr>
      <w:tr w:rsidR="00E30AE6" w:rsidRPr="003744F5" w14:paraId="45FEB5DE" w14:textId="77777777" w:rsidTr="00A1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3CD146" w14:textId="62BAB4BB" w:rsidR="00E30AE6" w:rsidRPr="008037D1" w:rsidRDefault="00E30AE6" w:rsidP="008037D1">
            <w:pPr>
              <w:pStyle w:val="Tabletext"/>
              <w:rPr>
                <w:lang w:val="en-AU"/>
              </w:rPr>
            </w:pPr>
            <w:r w:rsidRPr="008037D1">
              <w:rPr>
                <w:rFonts w:eastAsia="Times New Roman"/>
                <w:b/>
                <w:bCs/>
              </w:rPr>
              <w:t>W1</w:t>
            </w:r>
            <w:r w:rsidR="006F4490" w:rsidRPr="008037D1">
              <w:rPr>
                <w:rFonts w:eastAsia="Times New Roman"/>
              </w:rPr>
              <w:t xml:space="preserve">: </w:t>
            </w:r>
            <w:r w:rsidRPr="008037D1">
              <w:rPr>
                <w:rFonts w:eastAsia="Times New Roman"/>
              </w:rPr>
              <w:t>Total units of</w:t>
            </w:r>
            <w:r w:rsidR="006F4490" w:rsidRPr="008037D1">
              <w:rPr>
                <w:rFonts w:eastAsia="Times New Roman"/>
              </w:rPr>
              <w:t xml:space="preserve"> </w:t>
            </w:r>
            <w:r w:rsidRPr="008037D1">
              <w:rPr>
                <w:rFonts w:eastAsia="Times New Roman"/>
              </w:rPr>
              <w:t>metered water consumed</w:t>
            </w:r>
            <w:r w:rsidR="006F4490" w:rsidRPr="008037D1">
              <w:rPr>
                <w:rFonts w:eastAsia="Times New Roman"/>
              </w:rPr>
              <w:t xml:space="preserve"> </w:t>
            </w:r>
            <w:r w:rsidRPr="008037D1">
              <w:rPr>
                <w:rFonts w:eastAsia="Times New Roman"/>
              </w:rPr>
              <w:t>(</w:t>
            </w:r>
            <w:proofErr w:type="spellStart"/>
            <w:r w:rsidRPr="008037D1">
              <w:rPr>
                <w:rFonts w:eastAsia="Times New Roman"/>
              </w:rPr>
              <w:t>kL</w:t>
            </w:r>
            <w:proofErr w:type="spellEnd"/>
            <w:r w:rsidRPr="008037D1">
              <w:rPr>
                <w:rFonts w:eastAsia="Times New Roman"/>
              </w:rPr>
              <w:t>)</w:t>
            </w:r>
          </w:p>
          <w:p w14:paraId="7A353C2C" w14:textId="6FF28AD8" w:rsidR="00E30AE6" w:rsidRPr="008037D1" w:rsidRDefault="00E30AE6" w:rsidP="008037D1">
            <w:pPr>
              <w:pStyle w:val="Tablebullet1"/>
              <w:rPr>
                <w:b/>
                <w:lang w:val="en-AU"/>
              </w:rPr>
            </w:pPr>
            <w:r w:rsidRPr="008037D1">
              <w:rPr>
                <w:rFonts w:eastAsia="Times New Roman"/>
              </w:rPr>
              <w:t>Reported through the EDMS</w:t>
            </w:r>
          </w:p>
        </w:tc>
        <w:tc>
          <w:tcPr>
            <w:tcW w:w="2977" w:type="dxa"/>
          </w:tcPr>
          <w:p w14:paraId="67526AB4" w14:textId="46C585D7"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Segmented by source</w:t>
            </w:r>
            <w:r w:rsidR="003744F5">
              <w:rPr>
                <w:rFonts w:eastAsia="Times New Roman"/>
                <w:lang w:val="en-AU"/>
              </w:rPr>
              <w:t>.</w:t>
            </w:r>
            <w:r w:rsidRPr="008037D1">
              <w:rPr>
                <w:rFonts w:eastAsia="Times New Roman"/>
              </w:rPr>
              <w:t xml:space="preserve"> </w:t>
            </w:r>
            <w:r w:rsidR="003744F5">
              <w:rPr>
                <w:rFonts w:eastAsia="Times New Roman"/>
                <w:lang w:val="en-AU"/>
              </w:rPr>
              <w:t>T</w:t>
            </w:r>
            <w:proofErr w:type="spellStart"/>
            <w:r w:rsidRPr="008037D1">
              <w:rPr>
                <w:rFonts w:eastAsia="Times New Roman"/>
              </w:rPr>
              <w:t>hese</w:t>
            </w:r>
            <w:proofErr w:type="spellEnd"/>
            <w:r w:rsidRPr="008037D1">
              <w:rPr>
                <w:rFonts w:eastAsia="Times New Roman"/>
              </w:rPr>
              <w:t xml:space="preserve"> may include:</w:t>
            </w:r>
          </w:p>
          <w:p w14:paraId="5FD46C02" w14:textId="22AC6F3C" w:rsidR="00E30AE6" w:rsidRPr="008037D1" w:rsidRDefault="000F15E5"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rFonts w:eastAsia="Times New Roman"/>
                <w:lang w:val="en-AU"/>
              </w:rPr>
              <w:t>p</w:t>
            </w:r>
            <w:proofErr w:type="spellStart"/>
            <w:r w:rsidR="00E30AE6" w:rsidRPr="008037D1">
              <w:rPr>
                <w:rFonts w:eastAsia="Times New Roman"/>
              </w:rPr>
              <w:t>otable</w:t>
            </w:r>
            <w:proofErr w:type="spellEnd"/>
            <w:r w:rsidR="00E30AE6" w:rsidRPr="008037D1">
              <w:rPr>
                <w:rFonts w:eastAsia="Times New Roman"/>
              </w:rPr>
              <w:t xml:space="preserve"> water (from water supply)</w:t>
            </w:r>
          </w:p>
          <w:p w14:paraId="734062CA" w14:textId="4C341A60" w:rsidR="00E30AE6" w:rsidRPr="008037D1" w:rsidRDefault="000F15E5"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rFonts w:eastAsia="Times New Roman"/>
                <w:lang w:val="en-AU"/>
              </w:rPr>
              <w:t>m</w:t>
            </w:r>
            <w:proofErr w:type="spellStart"/>
            <w:r w:rsidR="00E30AE6" w:rsidRPr="008037D1">
              <w:rPr>
                <w:rFonts w:eastAsia="Times New Roman"/>
              </w:rPr>
              <w:t>etered</w:t>
            </w:r>
            <w:proofErr w:type="spellEnd"/>
            <w:r w:rsidR="00E30AE6" w:rsidRPr="008037D1">
              <w:rPr>
                <w:rFonts w:eastAsia="Times New Roman"/>
              </w:rPr>
              <w:t xml:space="preserve"> rainwater</w:t>
            </w:r>
          </w:p>
          <w:p w14:paraId="081AC5F7" w14:textId="05E4BCF4" w:rsidR="00E30AE6" w:rsidRPr="008037D1" w:rsidRDefault="000F15E5"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rFonts w:eastAsia="Times New Roman"/>
                <w:lang w:val="en-AU"/>
              </w:rPr>
              <w:t>m</w:t>
            </w:r>
            <w:proofErr w:type="spellStart"/>
            <w:r w:rsidRPr="008037D1">
              <w:rPr>
                <w:rFonts w:eastAsia="Times New Roman"/>
              </w:rPr>
              <w:t>etered</w:t>
            </w:r>
            <w:proofErr w:type="spellEnd"/>
            <w:r w:rsidRPr="008037D1">
              <w:rPr>
                <w:rFonts w:eastAsia="Times New Roman"/>
              </w:rPr>
              <w:t xml:space="preserve"> </w:t>
            </w:r>
            <w:r w:rsidR="00E30AE6" w:rsidRPr="008037D1">
              <w:rPr>
                <w:rFonts w:eastAsia="Times New Roman"/>
              </w:rPr>
              <w:t>alternative supply (river, stream, bore, fire supply, third pipe)</w:t>
            </w:r>
          </w:p>
          <w:p w14:paraId="06293B79" w14:textId="33319B95" w:rsidR="00E30AE6" w:rsidRPr="008037D1" w:rsidRDefault="000F15E5"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rFonts w:eastAsia="Times New Roman"/>
                <w:lang w:val="en-AU"/>
              </w:rPr>
              <w:t>m</w:t>
            </w:r>
            <w:proofErr w:type="spellStart"/>
            <w:r w:rsidR="00E30AE6" w:rsidRPr="008037D1">
              <w:rPr>
                <w:rFonts w:eastAsia="Times New Roman"/>
              </w:rPr>
              <w:t>etered</w:t>
            </w:r>
            <w:proofErr w:type="spellEnd"/>
            <w:r w:rsidR="00E30AE6" w:rsidRPr="008037D1">
              <w:rPr>
                <w:rFonts w:eastAsia="Times New Roman"/>
              </w:rPr>
              <w:t xml:space="preserve"> reused water (grey or black water)</w:t>
            </w:r>
          </w:p>
        </w:tc>
        <w:tc>
          <w:tcPr>
            <w:tcW w:w="3543" w:type="dxa"/>
          </w:tcPr>
          <w:p w14:paraId="76DB40E8" w14:textId="239C23B4"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EDMS </w:t>
            </w:r>
            <w:r w:rsidR="000F15E5">
              <w:rPr>
                <w:lang w:val="en-AU"/>
              </w:rPr>
              <w:t xml:space="preserve">can only </w:t>
            </w:r>
            <w:r w:rsidRPr="008037D1">
              <w:rPr>
                <w:rFonts w:eastAsia="Times New Roman"/>
              </w:rPr>
              <w:t>upload this data for potable water (depending on your accounts)</w:t>
            </w:r>
          </w:p>
          <w:p w14:paraId="54560E13" w14:textId="38126B36"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Invoices</w:t>
            </w:r>
            <w:r w:rsidR="000F15E5">
              <w:rPr>
                <w:rFonts w:eastAsia="Times New Roman"/>
                <w:lang w:val="en-AU"/>
              </w:rPr>
              <w:t xml:space="preserve"> or </w:t>
            </w:r>
            <w:r w:rsidRPr="008037D1">
              <w:rPr>
                <w:rFonts w:eastAsia="Times New Roman"/>
              </w:rPr>
              <w:t>billing from water suppliers</w:t>
            </w:r>
          </w:p>
          <w:p w14:paraId="0466CA3E" w14:textId="755A27EF"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Water meters</w:t>
            </w:r>
          </w:p>
        </w:tc>
        <w:tc>
          <w:tcPr>
            <w:tcW w:w="1134" w:type="dxa"/>
          </w:tcPr>
          <w:p w14:paraId="7669701B" w14:textId="1AA40F75"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Tier</w:t>
            </w:r>
            <w:r w:rsidR="003744F5">
              <w:rPr>
                <w:lang w:val="en-AU"/>
              </w:rPr>
              <w:t>s</w:t>
            </w:r>
            <w:r w:rsidRPr="008037D1">
              <w:rPr>
                <w:rFonts w:eastAsia="Times New Roman"/>
              </w:rPr>
              <w:t xml:space="preserve"> 2 and 3a</w:t>
            </w:r>
          </w:p>
        </w:tc>
      </w:tr>
      <w:tr w:rsidR="00E30AE6" w:rsidRPr="003744F5" w14:paraId="078105B5" w14:textId="77777777" w:rsidTr="00A16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93DB71" w14:textId="30DE89F8" w:rsidR="00E30AE6" w:rsidRPr="008037D1" w:rsidRDefault="00E30AE6" w:rsidP="008037D1">
            <w:pPr>
              <w:pStyle w:val="Tabletext"/>
              <w:rPr>
                <w:lang w:val="en-AU"/>
              </w:rPr>
            </w:pPr>
            <w:r w:rsidRPr="008037D1">
              <w:rPr>
                <w:rFonts w:eastAsia="Times New Roman"/>
                <w:b/>
              </w:rPr>
              <w:t>W2</w:t>
            </w:r>
            <w:r w:rsidR="00F255F3" w:rsidRPr="008037D1">
              <w:rPr>
                <w:rFonts w:eastAsia="Times New Roman"/>
              </w:rPr>
              <w:t xml:space="preserve">: </w:t>
            </w:r>
            <w:r w:rsidRPr="008037D1">
              <w:rPr>
                <w:rFonts w:eastAsia="Times New Roman"/>
              </w:rPr>
              <w:t>Units of metered</w:t>
            </w:r>
            <w:r w:rsidR="00F255F3" w:rsidRPr="008037D1">
              <w:rPr>
                <w:rFonts w:eastAsia="Times New Roman"/>
              </w:rPr>
              <w:t xml:space="preserve"> </w:t>
            </w:r>
            <w:r w:rsidRPr="008037D1">
              <w:rPr>
                <w:rFonts w:eastAsia="Times New Roman"/>
              </w:rPr>
              <w:t>water consumed</w:t>
            </w:r>
            <w:r w:rsidR="003744F5" w:rsidRPr="008037D1">
              <w:rPr>
                <w:rFonts w:eastAsia="Times New Roman"/>
              </w:rPr>
              <w:t>,</w:t>
            </w:r>
            <w:r w:rsidRPr="008037D1">
              <w:rPr>
                <w:rFonts w:eastAsia="Times New Roman"/>
              </w:rPr>
              <w:t xml:space="preserve"> </w:t>
            </w:r>
            <w:proofErr w:type="spellStart"/>
            <w:r w:rsidRPr="008037D1">
              <w:rPr>
                <w:rFonts w:eastAsia="Times New Roman"/>
              </w:rPr>
              <w:t>normalised</w:t>
            </w:r>
            <w:proofErr w:type="spellEnd"/>
            <w:r w:rsidRPr="008037D1">
              <w:rPr>
                <w:rFonts w:eastAsia="Times New Roman"/>
              </w:rPr>
              <w:t xml:space="preserve"> </w:t>
            </w:r>
            <w:r w:rsidR="00F255F3" w:rsidRPr="008037D1">
              <w:rPr>
                <w:rFonts w:eastAsia="Times New Roman"/>
              </w:rPr>
              <w:t xml:space="preserve">by </w:t>
            </w:r>
            <w:r w:rsidRPr="008037D1">
              <w:rPr>
                <w:rFonts w:eastAsia="Times New Roman"/>
              </w:rPr>
              <w:t>FTE, headcount, floor area</w:t>
            </w:r>
            <w:r w:rsidR="00F255F3" w:rsidRPr="008037D1">
              <w:rPr>
                <w:rFonts w:eastAsia="Times New Roman"/>
              </w:rPr>
              <w:t xml:space="preserve"> </w:t>
            </w:r>
            <w:r w:rsidRPr="008037D1">
              <w:rPr>
                <w:rFonts w:eastAsia="Times New Roman"/>
              </w:rPr>
              <w:t>or</w:t>
            </w:r>
            <w:r w:rsidR="00F255F3" w:rsidRPr="008037D1">
              <w:rPr>
                <w:rFonts w:eastAsia="Times New Roman"/>
              </w:rPr>
              <w:t xml:space="preserve"> </w:t>
            </w:r>
            <w:r w:rsidRPr="008037D1">
              <w:rPr>
                <w:rFonts w:eastAsia="Times New Roman"/>
              </w:rPr>
              <w:t>other entity</w:t>
            </w:r>
            <w:r w:rsidR="003744F5" w:rsidRPr="008037D1">
              <w:rPr>
                <w:rFonts w:eastAsia="Times New Roman"/>
              </w:rPr>
              <w:t>-</w:t>
            </w:r>
            <w:r w:rsidRPr="008037D1">
              <w:rPr>
                <w:rFonts w:eastAsia="Times New Roman"/>
              </w:rPr>
              <w:t xml:space="preserve"> or sector</w:t>
            </w:r>
            <w:r w:rsidR="003744F5" w:rsidRPr="008037D1">
              <w:rPr>
                <w:rFonts w:eastAsia="Times New Roman"/>
              </w:rPr>
              <w:noBreakHyphen/>
            </w:r>
            <w:r w:rsidRPr="008037D1">
              <w:rPr>
                <w:rFonts w:eastAsia="Times New Roman"/>
              </w:rPr>
              <w:t>specific quantity (</w:t>
            </w:r>
            <w:proofErr w:type="spellStart"/>
            <w:r w:rsidRPr="008037D1">
              <w:rPr>
                <w:rFonts w:eastAsia="Times New Roman"/>
              </w:rPr>
              <w:t>kL</w:t>
            </w:r>
            <w:proofErr w:type="spellEnd"/>
            <w:r w:rsidRPr="008037D1">
              <w:rPr>
                <w:rFonts w:eastAsia="Times New Roman"/>
              </w:rPr>
              <w:t>/</w:t>
            </w:r>
            <w:proofErr w:type="spellStart"/>
            <w:r w:rsidRPr="008037D1">
              <w:rPr>
                <w:rFonts w:eastAsia="Times New Roman"/>
              </w:rPr>
              <w:t>normalisation</w:t>
            </w:r>
            <w:proofErr w:type="spellEnd"/>
            <w:r w:rsidRPr="008037D1">
              <w:rPr>
                <w:rFonts w:eastAsia="Times New Roman"/>
              </w:rPr>
              <w:t>)</w:t>
            </w:r>
          </w:p>
          <w:p w14:paraId="5E565710" w14:textId="469B8DCD" w:rsidR="00E30AE6" w:rsidRPr="008037D1" w:rsidRDefault="00E30AE6" w:rsidP="008037D1">
            <w:pPr>
              <w:pStyle w:val="Tablebullet1"/>
              <w:rPr>
                <w:lang w:val="en-AU"/>
              </w:rPr>
            </w:pPr>
            <w:r w:rsidRPr="008037D1">
              <w:rPr>
                <w:rFonts w:eastAsia="Times New Roman"/>
              </w:rPr>
              <w:t>Reported through the EDMS</w:t>
            </w:r>
          </w:p>
        </w:tc>
        <w:tc>
          <w:tcPr>
            <w:tcW w:w="2977" w:type="dxa"/>
          </w:tcPr>
          <w:p w14:paraId="3156F8EC"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p>
        </w:tc>
        <w:tc>
          <w:tcPr>
            <w:tcW w:w="3543" w:type="dxa"/>
          </w:tcPr>
          <w:p w14:paraId="1F2BA0D3" w14:textId="589BD760"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Divide the total for </w:t>
            </w:r>
            <w:r w:rsidRPr="008037D1">
              <w:rPr>
                <w:rStyle w:val="Strong"/>
                <w:rFonts w:eastAsia="Times New Roman"/>
              </w:rPr>
              <w:t>W1</w:t>
            </w:r>
            <w:r w:rsidRPr="008037D1">
              <w:rPr>
                <w:rFonts w:eastAsia="Times New Roman"/>
              </w:rPr>
              <w:t xml:space="preserve"> by your chosen </w:t>
            </w:r>
            <w:proofErr w:type="spellStart"/>
            <w:r w:rsidR="000F15E5" w:rsidRPr="008037D1">
              <w:rPr>
                <w:rFonts w:eastAsia="Times New Roman"/>
              </w:rPr>
              <w:t>normali</w:t>
            </w:r>
            <w:proofErr w:type="spellEnd"/>
            <w:r w:rsidR="000F15E5">
              <w:rPr>
                <w:rFonts w:eastAsia="Times New Roman"/>
                <w:lang w:val="en-AU"/>
              </w:rPr>
              <w:t>s</w:t>
            </w:r>
            <w:proofErr w:type="spellStart"/>
            <w:r w:rsidR="000F15E5" w:rsidRPr="008037D1">
              <w:rPr>
                <w:rFonts w:eastAsia="Times New Roman"/>
              </w:rPr>
              <w:t>ation</w:t>
            </w:r>
            <w:proofErr w:type="spellEnd"/>
          </w:p>
          <w:p w14:paraId="67C58ADA" w14:textId="37705C55" w:rsidR="00E30AE6" w:rsidRPr="008037D1" w:rsidRDefault="00CF59FE"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EDMS can calculate this data</w:t>
            </w:r>
          </w:p>
        </w:tc>
        <w:tc>
          <w:tcPr>
            <w:tcW w:w="1134" w:type="dxa"/>
          </w:tcPr>
          <w:p w14:paraId="206CC2FC" w14:textId="116140CE"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Tier</w:t>
            </w:r>
            <w:r w:rsidR="003744F5">
              <w:rPr>
                <w:lang w:val="en-AU"/>
              </w:rPr>
              <w:t>s</w:t>
            </w:r>
            <w:r w:rsidRPr="008037D1">
              <w:rPr>
                <w:rFonts w:eastAsia="Times New Roman"/>
              </w:rPr>
              <w:t xml:space="preserve"> 2 and 3a</w:t>
            </w:r>
          </w:p>
        </w:tc>
      </w:tr>
    </w:tbl>
    <w:p w14:paraId="75E27C90" w14:textId="77777777" w:rsidR="00D20C6B" w:rsidRDefault="00D20C6B">
      <w:pPr>
        <w:spacing w:after="0" w:line="240" w:lineRule="auto"/>
        <w:rPr>
          <w:rFonts w:eastAsia="Times"/>
        </w:rPr>
      </w:pPr>
      <w:bookmarkStart w:id="70" w:name="_Toc137566836"/>
      <w:bookmarkEnd w:id="70"/>
      <w:r>
        <w:br w:type="page"/>
      </w:r>
    </w:p>
    <w:p w14:paraId="0EC480FD" w14:textId="53A02985" w:rsidR="00E30AE6" w:rsidRPr="00E30AE6" w:rsidRDefault="00E30AE6" w:rsidP="008037D1">
      <w:pPr>
        <w:pStyle w:val="Heading2"/>
        <w:numPr>
          <w:ilvl w:val="1"/>
          <w:numId w:val="91"/>
        </w:numPr>
        <w:rPr>
          <w:rFonts w:eastAsia="Times"/>
        </w:rPr>
      </w:pPr>
      <w:bookmarkStart w:id="71" w:name="_Toc137721916"/>
      <w:bookmarkStart w:id="72" w:name="_Toc137727418"/>
      <w:bookmarkStart w:id="73" w:name="_Toc138239126"/>
      <w:bookmarkEnd w:id="71"/>
      <w:bookmarkEnd w:id="72"/>
      <w:r w:rsidRPr="00E30AE6">
        <w:rPr>
          <w:rFonts w:eastAsia="Times"/>
        </w:rPr>
        <w:t>Waste and recycling</w:t>
      </w:r>
      <w:bookmarkEnd w:id="73"/>
    </w:p>
    <w:p w14:paraId="1ADBF087" w14:textId="2E16D2DA" w:rsidR="00A1739E" w:rsidRDefault="00A1739E" w:rsidP="008037D1">
      <w:pPr>
        <w:pStyle w:val="Tablecaption"/>
      </w:pPr>
      <w:r>
        <w:t xml:space="preserve">Table </w:t>
      </w:r>
      <w:fldSimple w:instr=" SEQ Table \* ARABIC ">
        <w:r w:rsidR="00C52465">
          <w:rPr>
            <w:noProof/>
          </w:rPr>
          <w:t>8</w:t>
        </w:r>
      </w:fldSimple>
      <w:r>
        <w:t>: Waste and recycling indicators</w:t>
      </w:r>
    </w:p>
    <w:tbl>
      <w:tblPr>
        <w:tblStyle w:val="Bluetable"/>
        <w:tblW w:w="9634" w:type="dxa"/>
        <w:tblInd w:w="5" w:type="dxa"/>
        <w:tblLook w:val="04A0" w:firstRow="1" w:lastRow="0" w:firstColumn="1" w:lastColumn="0" w:noHBand="0" w:noVBand="1"/>
      </w:tblPr>
      <w:tblGrid>
        <w:gridCol w:w="3256"/>
        <w:gridCol w:w="2409"/>
        <w:gridCol w:w="2923"/>
        <w:gridCol w:w="1046"/>
      </w:tblGrid>
      <w:tr w:rsidR="00E30AE6" w:rsidRPr="00D20C6B" w14:paraId="67DAA0B6" w14:textId="77777777" w:rsidTr="008037D1">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3256" w:type="dxa"/>
          </w:tcPr>
          <w:p w14:paraId="23953358" w14:textId="77777777" w:rsidR="00E30AE6" w:rsidRPr="008037D1" w:rsidRDefault="00E30AE6" w:rsidP="008037D1">
            <w:pPr>
              <w:pStyle w:val="Tablecolhead"/>
              <w:rPr>
                <w:lang w:val="en-AU"/>
              </w:rPr>
            </w:pPr>
            <w:r w:rsidRPr="008037D1">
              <w:rPr>
                <w:rFonts w:eastAsia="Times New Roman"/>
              </w:rPr>
              <w:t>Indicator</w:t>
            </w:r>
          </w:p>
        </w:tc>
        <w:tc>
          <w:tcPr>
            <w:tcW w:w="2409" w:type="dxa"/>
          </w:tcPr>
          <w:p w14:paraId="2DDF6ABF"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Segmentation</w:t>
            </w:r>
          </w:p>
        </w:tc>
        <w:tc>
          <w:tcPr>
            <w:tcW w:w="2923" w:type="dxa"/>
          </w:tcPr>
          <w:p w14:paraId="6F0EE891" w14:textId="77777777" w:rsidR="00E30AE6" w:rsidRPr="008037D1" w:rsidRDefault="00E30AE6"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Data sources</w:t>
            </w:r>
          </w:p>
        </w:tc>
        <w:tc>
          <w:tcPr>
            <w:tcW w:w="1046" w:type="dxa"/>
          </w:tcPr>
          <w:p w14:paraId="29FCF1F2" w14:textId="36B3807C" w:rsidR="00E30AE6" w:rsidRPr="008037D1" w:rsidRDefault="00740F2B"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Pr>
                <w:rFonts w:eastAsia="Times New Roman"/>
              </w:rPr>
              <w:t>Tier</w:t>
            </w:r>
          </w:p>
        </w:tc>
      </w:tr>
      <w:tr w:rsidR="00E30AE6" w:rsidRPr="00D20C6B" w14:paraId="247F717D"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54511D" w14:textId="4EC88666" w:rsidR="00E30AE6" w:rsidRPr="008037D1" w:rsidRDefault="00E30AE6" w:rsidP="008037D1">
            <w:pPr>
              <w:pStyle w:val="Tabletext"/>
              <w:rPr>
                <w:lang w:val="en-AU"/>
              </w:rPr>
            </w:pPr>
            <w:r w:rsidRPr="008037D1">
              <w:rPr>
                <w:rFonts w:eastAsia="Times New Roman"/>
                <w:b/>
                <w:bCs/>
              </w:rPr>
              <w:t>WR1</w:t>
            </w:r>
            <w:r w:rsidR="00F255F3" w:rsidRPr="008037D1">
              <w:rPr>
                <w:rFonts w:eastAsia="Times New Roman"/>
              </w:rPr>
              <w:t xml:space="preserve">: </w:t>
            </w:r>
            <w:r w:rsidRPr="008037D1">
              <w:rPr>
                <w:rFonts w:eastAsia="Times New Roman"/>
              </w:rPr>
              <w:t>Total units of waste disposed of</w:t>
            </w:r>
            <w:r w:rsidR="00D20C6B">
              <w:rPr>
                <w:lang w:val="en-AU"/>
              </w:rPr>
              <w:t>,</w:t>
            </w:r>
            <w:r w:rsidRPr="008037D1">
              <w:rPr>
                <w:rFonts w:eastAsia="Times New Roman"/>
              </w:rPr>
              <w:t xml:space="preserve"> by disposal method (kg and %)</w:t>
            </w:r>
          </w:p>
          <w:p w14:paraId="41FA5E33" w14:textId="0157186E" w:rsidR="00E30AE6" w:rsidRPr="008037D1" w:rsidRDefault="00E30AE6" w:rsidP="008037D1">
            <w:pPr>
              <w:pStyle w:val="Tablebullet1"/>
              <w:rPr>
                <w:rFonts w:eastAsia="Times New Roman"/>
                <w:lang w:val="en-AU"/>
              </w:rPr>
            </w:pPr>
            <w:r w:rsidRPr="008037D1">
              <w:rPr>
                <w:rFonts w:eastAsia="Times New Roman"/>
              </w:rPr>
              <w:t>Reported through the EDMS</w:t>
            </w:r>
          </w:p>
          <w:p w14:paraId="3CFCA1D2" w14:textId="2E13CCA5" w:rsidR="00E30AE6" w:rsidRPr="008037D1" w:rsidRDefault="00E30AE6" w:rsidP="008037D1">
            <w:pPr>
              <w:pStyle w:val="Tabletextafterbullets"/>
              <w:rPr>
                <w:lang w:val="en-AU"/>
              </w:rPr>
            </w:pPr>
            <w:r w:rsidRPr="008037D1">
              <w:rPr>
                <w:rFonts w:eastAsia="Times New Roman"/>
                <w:b/>
              </w:rPr>
              <w:t>Note</w:t>
            </w:r>
            <w:r w:rsidRPr="008037D1">
              <w:rPr>
                <w:rFonts w:eastAsia="Times New Roman"/>
              </w:rPr>
              <w:t xml:space="preserve">: reporting is only necessary </w:t>
            </w:r>
            <w:r w:rsidR="00D20C6B">
              <w:rPr>
                <w:lang w:val="en-AU"/>
              </w:rPr>
              <w:t>if</w:t>
            </w:r>
            <w:r w:rsidRPr="008037D1">
              <w:rPr>
                <w:rFonts w:eastAsia="Times New Roman"/>
              </w:rPr>
              <w:t xml:space="preserve"> separate collection services </w:t>
            </w:r>
            <w:r w:rsidR="00D20C6B">
              <w:rPr>
                <w:lang w:val="en-AU"/>
              </w:rPr>
              <w:t xml:space="preserve">are </w:t>
            </w:r>
            <w:r w:rsidRPr="008037D1">
              <w:rPr>
                <w:rFonts w:eastAsia="Times New Roman"/>
              </w:rPr>
              <w:t xml:space="preserve">used </w:t>
            </w:r>
            <w:r w:rsidRPr="008037D1">
              <w:rPr>
                <w:rStyle w:val="Strong"/>
                <w:rFonts w:eastAsia="Times New Roman"/>
              </w:rPr>
              <w:t>and</w:t>
            </w:r>
            <w:r w:rsidRPr="008037D1">
              <w:rPr>
                <w:rFonts w:eastAsia="Times New Roman"/>
              </w:rPr>
              <w:t xml:space="preserve"> data is available (</w:t>
            </w:r>
            <w:r w:rsidR="00D20C6B">
              <w:rPr>
                <w:lang w:val="en-AU"/>
              </w:rPr>
              <w:t>for example,</w:t>
            </w:r>
            <w:r w:rsidRPr="008037D1">
              <w:rPr>
                <w:rFonts w:eastAsia="Times New Roman"/>
              </w:rPr>
              <w:t xml:space="preserve"> </w:t>
            </w:r>
            <w:r w:rsidR="00D20C6B">
              <w:rPr>
                <w:lang w:val="en-AU"/>
              </w:rPr>
              <w:t xml:space="preserve">only report </w:t>
            </w:r>
            <w:r w:rsidRPr="008037D1">
              <w:rPr>
                <w:rFonts w:eastAsia="Times New Roman"/>
              </w:rPr>
              <w:t xml:space="preserve">batteries and toner cartridges </w:t>
            </w:r>
            <w:r w:rsidR="00D20C6B">
              <w:rPr>
                <w:lang w:val="en-AU"/>
              </w:rPr>
              <w:t>if the</w:t>
            </w:r>
            <w:r w:rsidR="00D20C6B" w:rsidRPr="008037D1">
              <w:rPr>
                <w:rFonts w:eastAsia="Times New Roman"/>
              </w:rPr>
              <w:t xml:space="preserve"> </w:t>
            </w:r>
            <w:r w:rsidRPr="008037D1">
              <w:rPr>
                <w:rFonts w:eastAsia="Times New Roman"/>
              </w:rPr>
              <w:t xml:space="preserve">waste management provider </w:t>
            </w:r>
            <w:r w:rsidR="00D20C6B">
              <w:rPr>
                <w:lang w:val="en-AU"/>
              </w:rPr>
              <w:t>has</w:t>
            </w:r>
            <w:r w:rsidRPr="008037D1">
              <w:rPr>
                <w:rFonts w:eastAsia="Times New Roman"/>
              </w:rPr>
              <w:t xml:space="preserve"> waste weight information)</w:t>
            </w:r>
          </w:p>
        </w:tc>
        <w:tc>
          <w:tcPr>
            <w:tcW w:w="2409" w:type="dxa"/>
          </w:tcPr>
          <w:p w14:paraId="42D8C038" w14:textId="09886BD1"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Segment by</w:t>
            </w:r>
            <w:r w:rsidR="008E3AC8">
              <w:rPr>
                <w:lang w:val="en-AU"/>
              </w:rPr>
              <w:t xml:space="preserve"> both</w:t>
            </w:r>
            <w:r w:rsidRPr="008037D1">
              <w:rPr>
                <w:rFonts w:eastAsia="Times New Roman"/>
              </w:rPr>
              <w:t xml:space="preserve"> disposal method and material type</w:t>
            </w:r>
            <w:r w:rsidR="008E3AC8">
              <w:rPr>
                <w:lang w:val="en-AU"/>
              </w:rPr>
              <w:t xml:space="preserve"> or </w:t>
            </w:r>
            <w:r w:rsidRPr="008037D1">
              <w:rPr>
                <w:rFonts w:eastAsia="Times New Roman"/>
              </w:rPr>
              <w:t>stream.</w:t>
            </w:r>
          </w:p>
          <w:p w14:paraId="1052F066" w14:textId="77777777"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Disposal method must include</w:t>
            </w:r>
            <w:r w:rsidRPr="008037D1">
              <w:rPr>
                <w:rFonts w:eastAsia="Times New Roman"/>
                <w:b/>
                <w:bCs/>
              </w:rPr>
              <w:t>:</w:t>
            </w:r>
          </w:p>
          <w:p w14:paraId="58DD3A8A" w14:textId="16A0CB7A"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landfill</w:t>
            </w:r>
          </w:p>
          <w:p w14:paraId="3A1BB6E5" w14:textId="519CE526"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recycling</w:t>
            </w:r>
            <w:r w:rsidR="008E3AC8">
              <w:rPr>
                <w:lang w:val="en-AU"/>
              </w:rPr>
              <w:t xml:space="preserve"> or </w:t>
            </w:r>
            <w:r w:rsidRPr="008037D1">
              <w:rPr>
                <w:rFonts w:eastAsia="Times New Roman"/>
              </w:rPr>
              <w:t>recovery</w:t>
            </w:r>
          </w:p>
          <w:p w14:paraId="54444535" w14:textId="0B0FD3CD"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other</w:t>
            </w:r>
          </w:p>
          <w:p w14:paraId="5A1FF02C" w14:textId="793D0FA6" w:rsidR="00E30AE6" w:rsidRPr="008037D1" w:rsidRDefault="00E30AE6" w:rsidP="008037D1">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Material type</w:t>
            </w:r>
            <w:r w:rsidR="008E3AC8">
              <w:rPr>
                <w:lang w:val="en-AU"/>
              </w:rPr>
              <w:t xml:space="preserve"> or </w:t>
            </w:r>
            <w:r w:rsidRPr="008037D1">
              <w:rPr>
                <w:rFonts w:eastAsia="Times New Roman"/>
              </w:rPr>
              <w:t>stream must include:</w:t>
            </w:r>
          </w:p>
          <w:p w14:paraId="164DB3BC" w14:textId="54CB3D32"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landfill</w:t>
            </w:r>
          </w:p>
          <w:p w14:paraId="3DF4EE6A" w14:textId="368E4BA4"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food and garden organics (where applicable)</w:t>
            </w:r>
          </w:p>
          <w:p w14:paraId="786B3E68" w14:textId="3EB31A7B"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recyclables (separated into relevant streams or co</w:t>
            </w:r>
            <w:r w:rsidR="008E3AC8">
              <w:rPr>
                <w:lang w:val="en-AU"/>
              </w:rPr>
              <w:t>-</w:t>
            </w:r>
            <w:r w:rsidRPr="008037D1">
              <w:rPr>
                <w:rFonts w:eastAsia="Times New Roman"/>
              </w:rPr>
              <w:t>mingled)</w:t>
            </w:r>
          </w:p>
          <w:p w14:paraId="45461D2F" w14:textId="0BF8A1A2"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any other large sector</w:t>
            </w:r>
            <w:r w:rsidR="008E3AC8">
              <w:rPr>
                <w:lang w:val="en-AU"/>
              </w:rPr>
              <w:t>-</w:t>
            </w:r>
            <w:r w:rsidRPr="008037D1">
              <w:rPr>
                <w:rFonts w:eastAsia="Times New Roman"/>
              </w:rPr>
              <w:t>specific waste stream</w:t>
            </w:r>
          </w:p>
        </w:tc>
        <w:tc>
          <w:tcPr>
            <w:tcW w:w="2923" w:type="dxa"/>
          </w:tcPr>
          <w:p w14:paraId="2DDA623A" w14:textId="5C5D692A"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EDMS: </w:t>
            </w:r>
            <w:r w:rsidR="008E3AC8">
              <w:rPr>
                <w:lang w:val="en-AU"/>
              </w:rPr>
              <w:t>combination</w:t>
            </w:r>
            <w:r w:rsidR="008E3AC8" w:rsidRPr="008037D1">
              <w:rPr>
                <w:rFonts w:eastAsia="Times New Roman"/>
              </w:rPr>
              <w:t xml:space="preserve"> </w:t>
            </w:r>
            <w:r w:rsidRPr="008037D1">
              <w:rPr>
                <w:rFonts w:eastAsia="Times New Roman"/>
              </w:rPr>
              <w:t>of HSV and department automatic upload and manual entry from hospitals and health services</w:t>
            </w:r>
          </w:p>
          <w:p w14:paraId="2DF70FDB" w14:textId="33A488E9"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Waste management providers</w:t>
            </w:r>
          </w:p>
          <w:p w14:paraId="7A2814A7" w14:textId="0908E552"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Waste audits</w:t>
            </w:r>
          </w:p>
          <w:p w14:paraId="6EAD5189" w14:textId="1E00147E"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Jones Lang LaSalle (JLL) – </w:t>
            </w:r>
            <w:r w:rsidR="008E3AC8">
              <w:rPr>
                <w:lang w:val="en-AU"/>
              </w:rPr>
              <w:t xml:space="preserve">only </w:t>
            </w:r>
            <w:r w:rsidRPr="008037D1">
              <w:rPr>
                <w:rFonts w:eastAsia="Times New Roman"/>
              </w:rPr>
              <w:t>for SSP</w:t>
            </w:r>
            <w:r w:rsidR="008E3AC8">
              <w:rPr>
                <w:lang w:val="en-AU"/>
              </w:rPr>
              <w:t>-</w:t>
            </w:r>
            <w:r w:rsidRPr="008037D1">
              <w:rPr>
                <w:rFonts w:eastAsia="Times New Roman"/>
              </w:rPr>
              <w:t>managed sites</w:t>
            </w:r>
          </w:p>
          <w:p w14:paraId="3A06C94F" w14:textId="323A1242"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Estimate based on number of bins (</w:t>
            </w:r>
            <w:r w:rsidR="008E3AC8">
              <w:rPr>
                <w:lang w:val="en-AU"/>
              </w:rPr>
              <w:t>for example,</w:t>
            </w:r>
            <w:r w:rsidRPr="008037D1">
              <w:rPr>
                <w:rFonts w:eastAsia="Times New Roman"/>
              </w:rPr>
              <w:t xml:space="preserve"> for sites with municipal waste collection)</w:t>
            </w:r>
          </w:p>
        </w:tc>
        <w:tc>
          <w:tcPr>
            <w:tcW w:w="1046" w:type="dxa"/>
          </w:tcPr>
          <w:p w14:paraId="3165ABE0" w14:textId="46F2F4B7"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Tier</w:t>
            </w:r>
            <w:r w:rsidR="008E3AC8">
              <w:rPr>
                <w:lang w:val="en-AU"/>
              </w:rPr>
              <w:t>s</w:t>
            </w:r>
            <w:r w:rsidRPr="008037D1">
              <w:rPr>
                <w:rFonts w:eastAsia="Times New Roman"/>
              </w:rPr>
              <w:t xml:space="preserve"> 2 and 3a</w:t>
            </w:r>
          </w:p>
        </w:tc>
      </w:tr>
      <w:tr w:rsidR="00E30AE6" w:rsidRPr="00D20C6B" w14:paraId="76BDDB75"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8319C54" w14:textId="20F182FE" w:rsidR="00E30AE6" w:rsidRPr="008037D1" w:rsidRDefault="00E30AE6" w:rsidP="008037D1">
            <w:pPr>
              <w:pStyle w:val="Tabletext"/>
              <w:rPr>
                <w:lang w:val="en-AU"/>
              </w:rPr>
            </w:pPr>
            <w:r w:rsidRPr="008037D1">
              <w:rPr>
                <w:rFonts w:eastAsia="Times New Roman"/>
                <w:b/>
              </w:rPr>
              <w:t>WR2</w:t>
            </w:r>
            <w:r w:rsidR="00F255F3" w:rsidRPr="008037D1">
              <w:rPr>
                <w:rFonts w:eastAsia="Times New Roman"/>
              </w:rPr>
              <w:t xml:space="preserve">: </w:t>
            </w:r>
            <w:r w:rsidRPr="008037D1">
              <w:rPr>
                <w:rFonts w:eastAsia="Times New Roman"/>
              </w:rPr>
              <w:t>Dedicated collection services provided in offices (as percentage of total office locations)</w:t>
            </w:r>
          </w:p>
          <w:p w14:paraId="32472D24" w14:textId="6C3B01DE" w:rsidR="00E30AE6" w:rsidRPr="008037D1" w:rsidRDefault="00F255F3" w:rsidP="008037D1">
            <w:pPr>
              <w:pStyle w:val="Tablebullet1"/>
              <w:rPr>
                <w:lang w:val="en-AU"/>
              </w:rPr>
            </w:pPr>
            <w:r w:rsidRPr="008037D1">
              <w:rPr>
                <w:rStyle w:val="Strong"/>
                <w:rFonts w:eastAsia="Times New Roman"/>
              </w:rPr>
              <w:t>Not</w:t>
            </w:r>
            <w:r w:rsidRPr="008037D1">
              <w:rPr>
                <w:rFonts w:eastAsia="Times New Roman"/>
              </w:rPr>
              <w:t xml:space="preserve"> </w:t>
            </w:r>
            <w:r w:rsidR="003A3948" w:rsidRPr="008037D1">
              <w:rPr>
                <w:rFonts w:eastAsia="Times New Roman"/>
              </w:rPr>
              <w:t>r</w:t>
            </w:r>
            <w:r w:rsidR="00E30AE6" w:rsidRPr="008037D1">
              <w:rPr>
                <w:rFonts w:eastAsia="Times New Roman"/>
              </w:rPr>
              <w:t xml:space="preserve">eported through the EDMS </w:t>
            </w:r>
          </w:p>
          <w:p w14:paraId="6F9B83C2" w14:textId="77777777" w:rsidR="00E30AE6" w:rsidRPr="008037D1" w:rsidRDefault="00E30AE6" w:rsidP="008037D1">
            <w:pPr>
              <w:pStyle w:val="Tablebullet1"/>
              <w:rPr>
                <w:lang w:val="en-AU"/>
              </w:rPr>
            </w:pPr>
            <w:r w:rsidRPr="008037D1">
              <w:rPr>
                <w:rFonts w:eastAsia="Times New Roman"/>
              </w:rPr>
              <w:t>Needs to be reported independently by entities</w:t>
            </w:r>
          </w:p>
          <w:p w14:paraId="3C1AA6D5" w14:textId="77777777" w:rsidR="00E30AE6" w:rsidRPr="008037D1" w:rsidRDefault="00E30AE6" w:rsidP="008037D1">
            <w:pPr>
              <w:pStyle w:val="Tabletextafterbullets"/>
              <w:rPr>
                <w:lang w:val="en-AU"/>
              </w:rPr>
            </w:pPr>
            <w:r w:rsidRPr="008037D1">
              <w:rPr>
                <w:rFonts w:eastAsia="Times New Roman"/>
                <w:b/>
                <w:bCs w:val="0"/>
              </w:rPr>
              <w:t>Note</w:t>
            </w:r>
            <w:r w:rsidRPr="008037D1">
              <w:rPr>
                <w:rFonts w:eastAsia="Times New Roman"/>
              </w:rPr>
              <w:t>: this indicator is only applicable for buildings where the primary purpose is an office space, and is not intended to capture office spaces within public hospitals.</w:t>
            </w:r>
          </w:p>
        </w:tc>
        <w:tc>
          <w:tcPr>
            <w:tcW w:w="2409" w:type="dxa"/>
          </w:tcPr>
          <w:p w14:paraId="657F0EDF"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Provide data for the following collection services: </w:t>
            </w:r>
          </w:p>
          <w:p w14:paraId="566A6484" w14:textId="2ED144CC"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e-waste</w:t>
            </w:r>
          </w:p>
          <w:p w14:paraId="4A9EFE2F" w14:textId="7B617CB1"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printer cartridges </w:t>
            </w:r>
          </w:p>
          <w:p w14:paraId="508A2FEF" w14:textId="3A1D2EC6"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batteries</w:t>
            </w:r>
          </w:p>
          <w:p w14:paraId="605DBC03" w14:textId="3F68F2D1" w:rsidR="00E30AE6" w:rsidRPr="008037D1" w:rsidRDefault="00E30AE6"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soft plastics</w:t>
            </w:r>
          </w:p>
        </w:tc>
        <w:tc>
          <w:tcPr>
            <w:tcW w:w="2923" w:type="dxa"/>
          </w:tcPr>
          <w:p w14:paraId="600A0C2C" w14:textId="643A4B5F" w:rsidR="008E3AC8" w:rsidRDefault="00E30AE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20C6B">
              <w:t>Annual audit</w:t>
            </w:r>
          </w:p>
          <w:p w14:paraId="0702B747" w14:textId="2C168FD0" w:rsidR="00E30AE6" w:rsidRPr="008037D1" w:rsidRDefault="008E3AC8" w:rsidP="008037D1">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b/>
                <w:bCs w:val="0"/>
              </w:rPr>
              <w:t>Note</w:t>
            </w:r>
            <w:r>
              <w:rPr>
                <w:lang w:val="en-AU"/>
              </w:rPr>
              <w:t xml:space="preserve">: </w:t>
            </w:r>
            <w:r w:rsidR="00E30AE6" w:rsidRPr="008037D1">
              <w:rPr>
                <w:rFonts w:eastAsia="Times New Roman"/>
              </w:rPr>
              <w:t>this indicator report</w:t>
            </w:r>
            <w:r>
              <w:rPr>
                <w:lang w:val="en-AU"/>
              </w:rPr>
              <w:t>s</w:t>
            </w:r>
            <w:r w:rsidR="00E30AE6" w:rsidRPr="008037D1">
              <w:rPr>
                <w:rFonts w:eastAsia="Times New Roman"/>
              </w:rPr>
              <w:t xml:space="preserve"> the presence of these services</w:t>
            </w:r>
            <w:r>
              <w:rPr>
                <w:lang w:val="en-AU"/>
              </w:rPr>
              <w:t xml:space="preserve"> only</w:t>
            </w:r>
            <w:r w:rsidR="00E30AE6" w:rsidRPr="008037D1">
              <w:rPr>
                <w:rFonts w:eastAsia="Times New Roman"/>
              </w:rPr>
              <w:t xml:space="preserve">, </w:t>
            </w:r>
            <w:r w:rsidR="00E30AE6" w:rsidRPr="008037D1">
              <w:rPr>
                <w:rStyle w:val="Strong"/>
                <w:rFonts w:eastAsia="Times New Roman"/>
              </w:rPr>
              <w:t>not</w:t>
            </w:r>
            <w:r w:rsidR="00E30AE6" w:rsidRPr="008037D1">
              <w:rPr>
                <w:rFonts w:eastAsia="Times New Roman"/>
              </w:rPr>
              <w:t xml:space="preserve"> the amount of waste collected</w:t>
            </w:r>
          </w:p>
        </w:tc>
        <w:tc>
          <w:tcPr>
            <w:tcW w:w="1046" w:type="dxa"/>
          </w:tcPr>
          <w:p w14:paraId="0E3DDFC2"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Tier 2</w:t>
            </w:r>
          </w:p>
        </w:tc>
      </w:tr>
      <w:tr w:rsidR="00E30AE6" w:rsidRPr="00D20C6B" w14:paraId="6AE4CC80"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990A5E" w14:textId="4A3A0EC9" w:rsidR="00E30AE6" w:rsidRPr="008037D1" w:rsidRDefault="00E30AE6" w:rsidP="008037D1">
            <w:pPr>
              <w:pStyle w:val="Tabletext"/>
              <w:rPr>
                <w:lang w:val="en-AU"/>
              </w:rPr>
            </w:pPr>
            <w:r w:rsidRPr="008037D1">
              <w:rPr>
                <w:rFonts w:eastAsia="Times New Roman"/>
                <w:b/>
              </w:rPr>
              <w:t>WR3</w:t>
            </w:r>
            <w:r w:rsidR="00F255F3" w:rsidRPr="008037D1">
              <w:rPr>
                <w:rFonts w:eastAsia="Times New Roman"/>
              </w:rPr>
              <w:t xml:space="preserve">: </w:t>
            </w:r>
            <w:r w:rsidRPr="008037D1">
              <w:rPr>
                <w:rFonts w:eastAsia="Times New Roman"/>
              </w:rPr>
              <w:t>Total units of waste disposed</w:t>
            </w:r>
            <w:r w:rsidR="008E3AC8">
              <w:rPr>
                <w:lang w:val="en-AU"/>
              </w:rPr>
              <w:t>,</w:t>
            </w:r>
            <w:r w:rsidRPr="008037D1">
              <w:rPr>
                <w:rFonts w:eastAsia="Times New Roman"/>
              </w:rPr>
              <w:t xml:space="preserve"> </w:t>
            </w:r>
            <w:proofErr w:type="spellStart"/>
            <w:r w:rsidRPr="008037D1">
              <w:rPr>
                <w:rFonts w:eastAsia="Times New Roman"/>
              </w:rPr>
              <w:t>normalised</w:t>
            </w:r>
            <w:proofErr w:type="spellEnd"/>
            <w:r w:rsidRPr="008037D1">
              <w:rPr>
                <w:rFonts w:eastAsia="Times New Roman"/>
              </w:rPr>
              <w:t xml:space="preserve"> by FTE, headcount, floor area or other entity</w:t>
            </w:r>
            <w:r w:rsidR="00F255F3" w:rsidRPr="008037D1">
              <w:rPr>
                <w:rFonts w:eastAsia="Times New Roman"/>
              </w:rPr>
              <w:t>-</w:t>
            </w:r>
            <w:r w:rsidRPr="008037D1">
              <w:rPr>
                <w:rFonts w:eastAsia="Times New Roman"/>
              </w:rPr>
              <w:t xml:space="preserve"> or sector</w:t>
            </w:r>
            <w:r w:rsidR="00F255F3" w:rsidRPr="008037D1">
              <w:rPr>
                <w:rFonts w:eastAsia="Times New Roman"/>
              </w:rPr>
              <w:t>-</w:t>
            </w:r>
            <w:r w:rsidRPr="008037D1">
              <w:rPr>
                <w:rFonts w:eastAsia="Times New Roman"/>
              </w:rPr>
              <w:t>specific quantity by disposal method</w:t>
            </w:r>
          </w:p>
          <w:p w14:paraId="462FA385" w14:textId="73817D31" w:rsidR="00E30AE6" w:rsidRPr="008037D1" w:rsidRDefault="00E30AE6" w:rsidP="008037D1">
            <w:pPr>
              <w:pStyle w:val="Tablebullet1"/>
              <w:rPr>
                <w:lang w:val="en-AU"/>
              </w:rPr>
            </w:pPr>
            <w:r w:rsidRPr="008037D1">
              <w:rPr>
                <w:rFonts w:eastAsia="Times New Roman"/>
              </w:rPr>
              <w:t>Reported through the EDMS</w:t>
            </w:r>
          </w:p>
        </w:tc>
        <w:tc>
          <w:tcPr>
            <w:tcW w:w="2409" w:type="dxa"/>
          </w:tcPr>
          <w:p w14:paraId="39189FCE" w14:textId="59BFD063"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Segment </w:t>
            </w:r>
            <w:r w:rsidR="008E3AC8">
              <w:rPr>
                <w:rFonts w:eastAsia="Times New Roman"/>
                <w:lang w:val="en-AU"/>
              </w:rPr>
              <w:t xml:space="preserve">using the same </w:t>
            </w:r>
            <w:r w:rsidRPr="008037D1">
              <w:rPr>
                <w:rFonts w:eastAsia="Times New Roman"/>
              </w:rPr>
              <w:t xml:space="preserve">disposal method </w:t>
            </w:r>
            <w:r w:rsidR="008E3AC8">
              <w:rPr>
                <w:rFonts w:eastAsia="Times New Roman"/>
                <w:lang w:val="en-AU"/>
              </w:rPr>
              <w:t xml:space="preserve">as </w:t>
            </w:r>
            <w:r w:rsidR="008E3AC8" w:rsidRPr="008037D1">
              <w:rPr>
                <w:rStyle w:val="Strong"/>
              </w:rPr>
              <w:t>WR1</w:t>
            </w:r>
          </w:p>
        </w:tc>
        <w:tc>
          <w:tcPr>
            <w:tcW w:w="2923" w:type="dxa"/>
          </w:tcPr>
          <w:p w14:paraId="393D3C03" w14:textId="2EAA5516"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Divide the total for </w:t>
            </w:r>
            <w:r w:rsidRPr="008037D1">
              <w:rPr>
                <w:rStyle w:val="Strong"/>
                <w:rFonts w:eastAsia="Times New Roman"/>
              </w:rPr>
              <w:t>WR1</w:t>
            </w:r>
            <w:r w:rsidRPr="008037D1">
              <w:rPr>
                <w:rFonts w:eastAsia="Times New Roman"/>
              </w:rPr>
              <w:t xml:space="preserve"> by your chosen </w:t>
            </w:r>
            <w:proofErr w:type="spellStart"/>
            <w:r w:rsidRPr="008037D1">
              <w:rPr>
                <w:rFonts w:eastAsia="Times New Roman"/>
              </w:rPr>
              <w:t>normali</w:t>
            </w:r>
            <w:proofErr w:type="spellEnd"/>
            <w:r w:rsidR="008E3AC8">
              <w:rPr>
                <w:rFonts w:eastAsia="Times New Roman"/>
                <w:lang w:val="en-AU"/>
              </w:rPr>
              <w:t>s</w:t>
            </w:r>
            <w:proofErr w:type="spellStart"/>
            <w:r w:rsidRPr="008037D1">
              <w:rPr>
                <w:rFonts w:eastAsia="Times New Roman"/>
              </w:rPr>
              <w:t>ation</w:t>
            </w:r>
            <w:proofErr w:type="spellEnd"/>
          </w:p>
          <w:p w14:paraId="195875CD" w14:textId="28CC6436" w:rsidR="00CF59FE" w:rsidRPr="008037D1" w:rsidRDefault="00CF59FE"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EDMS can calculate this data</w:t>
            </w:r>
          </w:p>
        </w:tc>
        <w:tc>
          <w:tcPr>
            <w:tcW w:w="1046" w:type="dxa"/>
          </w:tcPr>
          <w:p w14:paraId="71ABE7B4" w14:textId="667B6070"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Tier</w:t>
            </w:r>
            <w:r w:rsidR="008E3AC8">
              <w:rPr>
                <w:lang w:val="en-AU"/>
              </w:rPr>
              <w:t>s</w:t>
            </w:r>
            <w:r w:rsidRPr="008037D1">
              <w:rPr>
                <w:rFonts w:eastAsia="Times New Roman"/>
              </w:rPr>
              <w:t xml:space="preserve"> 2 and 3a</w:t>
            </w:r>
          </w:p>
        </w:tc>
      </w:tr>
      <w:tr w:rsidR="00E30AE6" w:rsidRPr="00D20C6B" w14:paraId="6702CE27"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864681" w14:textId="442D34AC" w:rsidR="00E30AE6" w:rsidRPr="008037D1" w:rsidRDefault="00E30AE6" w:rsidP="008037D1">
            <w:pPr>
              <w:pStyle w:val="Tabletext"/>
              <w:rPr>
                <w:lang w:val="en-AU"/>
              </w:rPr>
            </w:pPr>
            <w:r w:rsidRPr="008037D1">
              <w:rPr>
                <w:rFonts w:eastAsia="Times New Roman"/>
                <w:b/>
              </w:rPr>
              <w:t>WR4</w:t>
            </w:r>
            <w:r w:rsidR="00F255F3" w:rsidRPr="008037D1">
              <w:rPr>
                <w:rFonts w:eastAsia="Times New Roman"/>
              </w:rPr>
              <w:t xml:space="preserve">: </w:t>
            </w:r>
            <w:r w:rsidRPr="008037D1">
              <w:rPr>
                <w:rFonts w:eastAsia="Times New Roman"/>
              </w:rPr>
              <w:t>Recycling rate</w:t>
            </w:r>
          </w:p>
          <w:p w14:paraId="484BB461" w14:textId="6755CF3A" w:rsidR="00E30AE6" w:rsidRPr="008037D1" w:rsidRDefault="00E30AE6" w:rsidP="008037D1">
            <w:pPr>
              <w:pStyle w:val="Tablebullet1"/>
              <w:rPr>
                <w:lang w:val="en-AU"/>
              </w:rPr>
            </w:pPr>
            <w:r w:rsidRPr="008037D1">
              <w:rPr>
                <w:rFonts w:eastAsia="Times New Roman"/>
              </w:rPr>
              <w:t>Reported through the EDMS</w:t>
            </w:r>
          </w:p>
        </w:tc>
        <w:tc>
          <w:tcPr>
            <w:tcW w:w="2409" w:type="dxa"/>
          </w:tcPr>
          <w:p w14:paraId="1B53CE33" w14:textId="77777777"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No segmentation</w:t>
            </w:r>
          </w:p>
        </w:tc>
        <w:tc>
          <w:tcPr>
            <w:tcW w:w="2923" w:type="dxa"/>
          </w:tcPr>
          <w:p w14:paraId="1E30399B" w14:textId="3C4EBE13"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Based on data disclosed in </w:t>
            </w:r>
            <w:r w:rsidRPr="008037D1">
              <w:rPr>
                <w:rStyle w:val="Strong"/>
                <w:rFonts w:eastAsia="Times New Roman"/>
              </w:rPr>
              <w:t>WR1</w:t>
            </w:r>
            <w:r w:rsidR="008E3AC8">
              <w:rPr>
                <w:lang w:val="en-AU"/>
              </w:rPr>
              <w:t>:</w:t>
            </w:r>
            <w:r w:rsidR="008E3AC8">
              <w:rPr>
                <w:lang w:val="en-AU"/>
              </w:rPr>
              <w:br/>
            </w:r>
            <w:r w:rsidRPr="008037D1">
              <w:rPr>
                <w:rFonts w:eastAsia="Times New Roman"/>
              </w:rPr>
              <w:t xml:space="preserve">(kg of recyclable materials + kg </w:t>
            </w:r>
            <w:r w:rsidR="008E3AC8">
              <w:rPr>
                <w:lang w:val="en-AU"/>
              </w:rPr>
              <w:t xml:space="preserve">of </w:t>
            </w:r>
            <w:r w:rsidRPr="008037D1">
              <w:rPr>
                <w:rFonts w:eastAsia="Times New Roman"/>
              </w:rPr>
              <w:t>organic material)</w:t>
            </w:r>
            <w:proofErr w:type="gramStart"/>
            <w:r w:rsidRPr="008037D1">
              <w:rPr>
                <w:rFonts w:eastAsia="Times New Roman"/>
              </w:rPr>
              <w:t>/(</w:t>
            </w:r>
            <w:proofErr w:type="gramEnd"/>
            <w:r w:rsidRPr="008037D1">
              <w:rPr>
                <w:rFonts w:eastAsia="Times New Roman"/>
              </w:rPr>
              <w:t>kg of total waste)</w:t>
            </w:r>
          </w:p>
          <w:p w14:paraId="7CA2EB30" w14:textId="18B1C127" w:rsidR="00CF59FE" w:rsidRPr="008037D1" w:rsidRDefault="00CF59FE"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EDMS can calculate this data</w:t>
            </w:r>
          </w:p>
        </w:tc>
        <w:tc>
          <w:tcPr>
            <w:tcW w:w="1046" w:type="dxa"/>
          </w:tcPr>
          <w:p w14:paraId="11258242" w14:textId="496FD82C" w:rsidR="00E30AE6" w:rsidRPr="008037D1" w:rsidRDefault="00E30AE6"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Tier</w:t>
            </w:r>
            <w:r w:rsidR="008E3AC8">
              <w:rPr>
                <w:lang w:val="en-AU"/>
              </w:rPr>
              <w:t>s</w:t>
            </w:r>
            <w:r w:rsidRPr="008037D1">
              <w:rPr>
                <w:rFonts w:eastAsia="Times New Roman"/>
              </w:rPr>
              <w:t xml:space="preserve"> 2 and 3a</w:t>
            </w:r>
          </w:p>
        </w:tc>
      </w:tr>
      <w:tr w:rsidR="00E30AE6" w:rsidRPr="00D20C6B" w14:paraId="0F065E55"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ABA680" w14:textId="095120B3" w:rsidR="00E30AE6" w:rsidRPr="008037D1" w:rsidRDefault="00E30AE6" w:rsidP="008037D1">
            <w:pPr>
              <w:pStyle w:val="Tabletext"/>
              <w:rPr>
                <w:lang w:val="en-AU"/>
              </w:rPr>
            </w:pPr>
            <w:r w:rsidRPr="008037D1">
              <w:rPr>
                <w:rFonts w:eastAsia="Times New Roman"/>
                <w:b/>
              </w:rPr>
              <w:t>WR5</w:t>
            </w:r>
            <w:r w:rsidR="00F255F3" w:rsidRPr="008037D1">
              <w:rPr>
                <w:rFonts w:eastAsia="Times New Roman"/>
              </w:rPr>
              <w:t xml:space="preserve">: </w:t>
            </w:r>
            <w:r w:rsidRPr="008037D1">
              <w:rPr>
                <w:rFonts w:eastAsia="Times New Roman"/>
              </w:rPr>
              <w:t>Greenhouse gas</w:t>
            </w:r>
            <w:r w:rsidR="00F255F3" w:rsidRPr="008037D1">
              <w:rPr>
                <w:rFonts w:eastAsia="Times New Roman"/>
              </w:rPr>
              <w:t xml:space="preserve"> </w:t>
            </w:r>
            <w:r w:rsidRPr="008037D1">
              <w:rPr>
                <w:rFonts w:eastAsia="Times New Roman"/>
              </w:rPr>
              <w:t>emissions associated</w:t>
            </w:r>
            <w:r w:rsidR="00F255F3" w:rsidRPr="008037D1">
              <w:rPr>
                <w:rFonts w:eastAsia="Times New Roman"/>
              </w:rPr>
              <w:t xml:space="preserve"> </w:t>
            </w:r>
            <w:r w:rsidRPr="008037D1">
              <w:rPr>
                <w:rFonts w:eastAsia="Times New Roman"/>
              </w:rPr>
              <w:t>with waste disposal</w:t>
            </w:r>
          </w:p>
          <w:p w14:paraId="611F71C3" w14:textId="2F1D0B04" w:rsidR="00E30AE6" w:rsidRPr="008037D1" w:rsidRDefault="00E30AE6" w:rsidP="008037D1">
            <w:pPr>
              <w:pStyle w:val="Tablebullet1"/>
              <w:rPr>
                <w:lang w:val="en-AU"/>
              </w:rPr>
            </w:pPr>
            <w:r w:rsidRPr="008037D1">
              <w:rPr>
                <w:rFonts w:eastAsia="Times New Roman"/>
              </w:rPr>
              <w:t>Reported through the EDMS</w:t>
            </w:r>
          </w:p>
        </w:tc>
        <w:tc>
          <w:tcPr>
            <w:tcW w:w="2409" w:type="dxa"/>
          </w:tcPr>
          <w:p w14:paraId="00C4D60A" w14:textId="25687100"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No segmentation</w:t>
            </w:r>
          </w:p>
        </w:tc>
        <w:tc>
          <w:tcPr>
            <w:tcW w:w="2923" w:type="dxa"/>
          </w:tcPr>
          <w:p w14:paraId="1A53F768" w14:textId="4A2453EA"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EDMS can calculate this data</w:t>
            </w:r>
          </w:p>
          <w:p w14:paraId="224705FC" w14:textId="32C3C473" w:rsidR="00E30AE6" w:rsidRPr="008037D1" w:rsidRDefault="00E30AE6"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 xml:space="preserve">Use the current </w:t>
            </w:r>
            <w:r w:rsidR="001356D2">
              <w:rPr>
                <w:lang w:val="en-AU"/>
              </w:rPr>
              <w:t xml:space="preserve">NGA </w:t>
            </w:r>
            <w:r w:rsidRPr="008037D1">
              <w:rPr>
                <w:rFonts w:eastAsia="Times New Roman"/>
              </w:rPr>
              <w:t>factors</w:t>
            </w:r>
          </w:p>
        </w:tc>
        <w:tc>
          <w:tcPr>
            <w:tcW w:w="1046" w:type="dxa"/>
          </w:tcPr>
          <w:p w14:paraId="19BD522E" w14:textId="5F54B952" w:rsidR="00E30AE6" w:rsidRPr="008037D1" w:rsidRDefault="00E30AE6"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Tier</w:t>
            </w:r>
            <w:r w:rsidR="008E3AC8">
              <w:rPr>
                <w:lang w:val="en-AU"/>
              </w:rPr>
              <w:t>s</w:t>
            </w:r>
            <w:r w:rsidRPr="008037D1">
              <w:rPr>
                <w:rFonts w:eastAsia="Times New Roman"/>
              </w:rPr>
              <w:t xml:space="preserve"> 2 and 3a</w:t>
            </w:r>
          </w:p>
        </w:tc>
      </w:tr>
    </w:tbl>
    <w:p w14:paraId="025D93C6" w14:textId="68905E0D" w:rsidR="00E30AE6" w:rsidRPr="00E30AE6" w:rsidRDefault="00F255F3" w:rsidP="008037D1">
      <w:pPr>
        <w:pStyle w:val="Bodyafterbullets"/>
      </w:pPr>
      <w:r w:rsidRPr="008037D1">
        <w:rPr>
          <w:b/>
          <w:bCs/>
        </w:rPr>
        <w:t>Note</w:t>
      </w:r>
      <w:r>
        <w:t xml:space="preserve">: </w:t>
      </w:r>
      <w:r w:rsidR="00E30AE6" w:rsidRPr="00E30AE6">
        <w:t>Key information and reminders:</w:t>
      </w:r>
    </w:p>
    <w:p w14:paraId="5AFAC731" w14:textId="4DB9E8BB" w:rsidR="00E30AE6" w:rsidRPr="00E30AE6" w:rsidRDefault="00E30AE6" w:rsidP="008037D1">
      <w:pPr>
        <w:pStyle w:val="Bullet1"/>
      </w:pPr>
      <w:r w:rsidRPr="008037D1">
        <w:rPr>
          <w:b/>
          <w:bCs/>
        </w:rPr>
        <w:t>Operational waste only</w:t>
      </w:r>
      <w:r w:rsidRPr="008037D1">
        <w:t>:</w:t>
      </w:r>
      <w:r w:rsidRPr="00E30AE6">
        <w:t xml:space="preserve"> exclude waste from ‘one</w:t>
      </w:r>
      <w:r w:rsidR="008E3AC8">
        <w:t>-</w:t>
      </w:r>
      <w:r w:rsidRPr="00E30AE6">
        <w:t xml:space="preserve">off’ clean outs, office relocations, construction and demolition </w:t>
      </w:r>
      <w:r w:rsidR="008E3AC8">
        <w:t>and so on</w:t>
      </w:r>
      <w:r w:rsidRPr="00E30AE6">
        <w:t>.</w:t>
      </w:r>
    </w:p>
    <w:p w14:paraId="61B88419" w14:textId="680697FD" w:rsidR="00E30AE6" w:rsidRPr="00E30AE6" w:rsidRDefault="00E30AE6" w:rsidP="008037D1">
      <w:pPr>
        <w:pStyle w:val="Bullet1"/>
      </w:pPr>
      <w:r w:rsidRPr="008037D1">
        <w:rPr>
          <w:b/>
          <w:bCs/>
        </w:rPr>
        <w:t>Waste audits</w:t>
      </w:r>
      <w:r w:rsidRPr="008037D1">
        <w:t>:</w:t>
      </w:r>
      <w:r w:rsidRPr="00E30AE6">
        <w:rPr>
          <w:b/>
          <w:bCs/>
        </w:rPr>
        <w:t xml:space="preserve"> </w:t>
      </w:r>
      <w:r w:rsidRPr="00E30AE6">
        <w:t xml:space="preserve">no longer the preferred method of data collection. </w:t>
      </w:r>
      <w:r w:rsidR="008E3AC8">
        <w:t xml:space="preserve">Get </w:t>
      </w:r>
      <w:r w:rsidRPr="00E30AE6">
        <w:t>weight or volume data from waste management providers.</w:t>
      </w:r>
    </w:p>
    <w:p w14:paraId="3776A89B" w14:textId="6C8765A5" w:rsidR="00E30AE6" w:rsidRPr="00E30AE6" w:rsidRDefault="00E30AE6" w:rsidP="008037D1">
      <w:pPr>
        <w:pStyle w:val="Bullet1"/>
      </w:pPr>
      <w:r w:rsidRPr="008037D1">
        <w:rPr>
          <w:b/>
          <w:bCs/>
        </w:rPr>
        <w:t>Estimation</w:t>
      </w:r>
      <w:r w:rsidRPr="008037D1">
        <w:t>:</w:t>
      </w:r>
      <w:r w:rsidRPr="00E30AE6">
        <w:rPr>
          <w:b/>
          <w:bCs/>
        </w:rPr>
        <w:t xml:space="preserve"> </w:t>
      </w:r>
      <w:r w:rsidRPr="00E30AE6">
        <w:t xml:space="preserve">use data from similar sites to estimate waste generation for sites where data is not provided or difficult to collect. </w:t>
      </w:r>
      <w:r w:rsidR="008E3AC8" w:rsidRPr="008037D1">
        <w:rPr>
          <w:i/>
          <w:iCs/>
        </w:rPr>
        <w:t>Guidance on environmental disclosures under FRD 24</w:t>
      </w:r>
      <w:r w:rsidRPr="00E30AE6">
        <w:rPr>
          <w:lang w:val="en-US"/>
        </w:rPr>
        <w:t xml:space="preserve"> outlines </w:t>
      </w:r>
      <w:r w:rsidRPr="00E30AE6">
        <w:t>several methods for estimating waste.</w:t>
      </w:r>
    </w:p>
    <w:p w14:paraId="4273A835" w14:textId="77777777" w:rsidR="00D20C6B" w:rsidRDefault="00D20C6B">
      <w:pPr>
        <w:spacing w:after="0" w:line="240" w:lineRule="auto"/>
        <w:rPr>
          <w:rFonts w:eastAsia="Times"/>
        </w:rPr>
      </w:pPr>
      <w:r>
        <w:br w:type="page"/>
      </w:r>
    </w:p>
    <w:p w14:paraId="5C1912D4" w14:textId="3AD3A608" w:rsidR="00FE44F7" w:rsidRPr="00826B40" w:rsidRDefault="00FE44F7" w:rsidP="008037D1">
      <w:pPr>
        <w:pStyle w:val="Heading2"/>
        <w:numPr>
          <w:ilvl w:val="1"/>
          <w:numId w:val="91"/>
        </w:numPr>
      </w:pPr>
      <w:bookmarkStart w:id="74" w:name="_Toc138239127"/>
      <w:r>
        <w:t>Greenhouse gas emissions</w:t>
      </w:r>
      <w:bookmarkEnd w:id="74"/>
    </w:p>
    <w:p w14:paraId="76ED2BCC" w14:textId="447A8AC2" w:rsidR="00A1739E" w:rsidRDefault="00A1739E" w:rsidP="008037D1">
      <w:pPr>
        <w:pStyle w:val="Tablecaption"/>
      </w:pPr>
      <w:r>
        <w:t xml:space="preserve">Table </w:t>
      </w:r>
      <w:fldSimple w:instr=" SEQ Table \* ARABIC ">
        <w:r w:rsidR="00C52465">
          <w:rPr>
            <w:noProof/>
          </w:rPr>
          <w:t>9</w:t>
        </w:r>
      </w:fldSimple>
      <w:r>
        <w:t>: Greenhouse gas emissions indicators</w:t>
      </w:r>
    </w:p>
    <w:tbl>
      <w:tblPr>
        <w:tblStyle w:val="Bluetable"/>
        <w:tblW w:w="9520" w:type="dxa"/>
        <w:tblInd w:w="5" w:type="dxa"/>
        <w:tblLayout w:type="fixed"/>
        <w:tblLook w:val="04A0" w:firstRow="1" w:lastRow="0" w:firstColumn="1" w:lastColumn="0" w:noHBand="0" w:noVBand="1"/>
      </w:tblPr>
      <w:tblGrid>
        <w:gridCol w:w="1980"/>
        <w:gridCol w:w="2977"/>
        <w:gridCol w:w="3543"/>
        <w:gridCol w:w="1020"/>
      </w:tblGrid>
      <w:tr w:rsidR="00D20C6B" w:rsidRPr="00985B31" w14:paraId="39F3BB18" w14:textId="77777777" w:rsidTr="006A6CEA">
        <w:trPr>
          <w:cnfStyle w:val="100000000000" w:firstRow="1" w:lastRow="0" w:firstColumn="0" w:lastColumn="0" w:oddVBand="0" w:evenVBand="0" w:oddHBand="0" w:evenHBand="0" w:firstRowFirstColumn="0" w:firstRowLastColumn="0" w:lastRowFirstColumn="0" w:lastRowLastColumn="0"/>
          <w:trHeight w:val="505"/>
          <w:tblHeader/>
        </w:trPr>
        <w:tc>
          <w:tcPr>
            <w:cnfStyle w:val="001000000000" w:firstRow="0" w:lastRow="0" w:firstColumn="1" w:lastColumn="0" w:oddVBand="0" w:evenVBand="0" w:oddHBand="0" w:evenHBand="0" w:firstRowFirstColumn="0" w:firstRowLastColumn="0" w:lastRowFirstColumn="0" w:lastRowLastColumn="0"/>
            <w:tcW w:w="1980" w:type="dxa"/>
          </w:tcPr>
          <w:p w14:paraId="48F43691" w14:textId="77777777" w:rsidR="00FE44F7" w:rsidRPr="008037D1" w:rsidRDefault="00FE44F7" w:rsidP="0074270C">
            <w:pPr>
              <w:pStyle w:val="Tablecolhead"/>
              <w:rPr>
                <w:lang w:val="en-AU"/>
              </w:rPr>
            </w:pPr>
            <w:r w:rsidRPr="00985B31">
              <w:t>Indicator</w:t>
            </w:r>
          </w:p>
        </w:tc>
        <w:tc>
          <w:tcPr>
            <w:tcW w:w="2977" w:type="dxa"/>
          </w:tcPr>
          <w:p w14:paraId="5BDE3390" w14:textId="77777777" w:rsidR="00FE44F7" w:rsidRPr="008037D1" w:rsidRDefault="00FE44F7" w:rsidP="0074270C">
            <w:pPr>
              <w:pStyle w:val="Tablecolhead"/>
              <w:cnfStyle w:val="100000000000" w:firstRow="1" w:lastRow="0" w:firstColumn="0" w:lastColumn="0" w:oddVBand="0" w:evenVBand="0" w:oddHBand="0" w:evenHBand="0" w:firstRowFirstColumn="0" w:firstRowLastColumn="0" w:lastRowFirstColumn="0" w:lastRowLastColumn="0"/>
              <w:rPr>
                <w:lang w:val="en-AU"/>
              </w:rPr>
            </w:pPr>
            <w:r w:rsidRPr="00985B31">
              <w:t>Segmentation</w:t>
            </w:r>
          </w:p>
        </w:tc>
        <w:tc>
          <w:tcPr>
            <w:tcW w:w="3543" w:type="dxa"/>
          </w:tcPr>
          <w:p w14:paraId="766D01D0" w14:textId="1B907828" w:rsidR="00FE44F7" w:rsidRPr="008037D1" w:rsidRDefault="00FE44F7" w:rsidP="0074270C">
            <w:pPr>
              <w:pStyle w:val="Tablecolhead"/>
              <w:cnfStyle w:val="100000000000" w:firstRow="1" w:lastRow="0" w:firstColumn="0" w:lastColumn="0" w:oddVBand="0" w:evenVBand="0" w:oddHBand="0" w:evenHBand="0" w:firstRowFirstColumn="0" w:firstRowLastColumn="0" w:lastRowFirstColumn="0" w:lastRowLastColumn="0"/>
              <w:rPr>
                <w:lang w:val="en-AU"/>
              </w:rPr>
            </w:pPr>
            <w:r w:rsidRPr="00985B31">
              <w:t>Data sources</w:t>
            </w:r>
          </w:p>
        </w:tc>
        <w:tc>
          <w:tcPr>
            <w:tcW w:w="1020" w:type="dxa"/>
          </w:tcPr>
          <w:p w14:paraId="4EEB74FC" w14:textId="71223F22" w:rsidR="00FE44F7" w:rsidRPr="008037D1" w:rsidRDefault="008A7002" w:rsidP="0074270C">
            <w:pPr>
              <w:pStyle w:val="Tablecolhead"/>
              <w:cnfStyle w:val="100000000000" w:firstRow="1" w:lastRow="0" w:firstColumn="0" w:lastColumn="0" w:oddVBand="0" w:evenVBand="0" w:oddHBand="0" w:evenHBand="0" w:firstRowFirstColumn="0" w:firstRowLastColumn="0" w:lastRowFirstColumn="0" w:lastRowLastColumn="0"/>
              <w:rPr>
                <w:lang w:val="en-AU"/>
              </w:rPr>
            </w:pPr>
            <w:r>
              <w:t>Tier</w:t>
            </w:r>
          </w:p>
        </w:tc>
      </w:tr>
      <w:tr w:rsidR="00D20C6B" w:rsidRPr="00985B31" w14:paraId="0CF4348F" w14:textId="77777777" w:rsidTr="006A6C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Pr>
          <w:p w14:paraId="2A08E6A2" w14:textId="58A8BB1D" w:rsidR="000742B1" w:rsidRPr="008037D1" w:rsidRDefault="00F20875" w:rsidP="008037D1">
            <w:pPr>
              <w:pStyle w:val="Tabletext"/>
              <w:rPr>
                <w:lang w:val="en-AU"/>
              </w:rPr>
            </w:pPr>
            <w:r w:rsidRPr="00985B31">
              <w:rPr>
                <w:b/>
              </w:rPr>
              <w:t>G1</w:t>
            </w:r>
            <w:r w:rsidR="0074270C" w:rsidRPr="00985B31">
              <w:t xml:space="preserve">: </w:t>
            </w:r>
            <w:r w:rsidR="00FE44F7" w:rsidRPr="00985B31">
              <w:t xml:space="preserve">Total Scope </w:t>
            </w:r>
            <w:r w:rsidR="002E3B1E" w:rsidRPr="00985B31">
              <w:t xml:space="preserve">1 </w:t>
            </w:r>
            <w:r w:rsidR="00FE44F7" w:rsidRPr="00985B31">
              <w:t>(direct) greenhouse gas emissions (</w:t>
            </w:r>
            <w:proofErr w:type="spellStart"/>
            <w:r w:rsidR="00FE44F7" w:rsidRPr="00985B31">
              <w:t>tonnes</w:t>
            </w:r>
            <w:proofErr w:type="spellEnd"/>
            <w:r w:rsidR="00FE44F7" w:rsidRPr="00985B31">
              <w:t xml:space="preserve"> </w:t>
            </w:r>
            <w:r w:rsidR="00BD396D" w:rsidRPr="00E30AE6">
              <w:rPr>
                <w:rFonts w:eastAsia="Times"/>
              </w:rPr>
              <w:t>CO</w:t>
            </w:r>
            <w:r w:rsidR="00BD396D" w:rsidRPr="00A838BF">
              <w:rPr>
                <w:rFonts w:eastAsia="Times"/>
                <w:vertAlign w:val="subscript"/>
              </w:rPr>
              <w:t>2</w:t>
            </w:r>
            <w:r w:rsidR="00BD396D">
              <w:rPr>
                <w:lang w:val="en-AU"/>
              </w:rPr>
              <w:noBreakHyphen/>
            </w:r>
            <w:r w:rsidR="00FE44F7" w:rsidRPr="00985B31">
              <w:t>e)</w:t>
            </w:r>
          </w:p>
          <w:p w14:paraId="54BFBBCA" w14:textId="422F6BA3" w:rsidR="00FE44F7" w:rsidRPr="008037D1" w:rsidRDefault="000742B1" w:rsidP="008037D1">
            <w:pPr>
              <w:pStyle w:val="Tablebullet1"/>
              <w:rPr>
                <w:lang w:val="en-AU"/>
              </w:rPr>
            </w:pPr>
            <w:r w:rsidRPr="00227074">
              <w:rPr>
                <w:szCs w:val="20"/>
              </w:rPr>
              <w:t>Reported through the EDMS</w:t>
            </w:r>
          </w:p>
        </w:tc>
        <w:tc>
          <w:tcPr>
            <w:tcW w:w="2977" w:type="dxa"/>
          </w:tcPr>
          <w:p w14:paraId="5A940980" w14:textId="6FCD1209" w:rsidR="00FE44F7" w:rsidRPr="008037D1" w:rsidRDefault="009E2D89" w:rsidP="0074270C">
            <w:pPr>
              <w:pStyle w:val="Tabletext"/>
              <w:cnfStyle w:val="000000100000" w:firstRow="0" w:lastRow="0" w:firstColumn="0" w:lastColumn="0" w:oddVBand="0" w:evenVBand="0" w:oddHBand="1" w:evenHBand="0" w:firstRowFirstColumn="0" w:firstRowLastColumn="0" w:lastRowFirstColumn="0" w:lastRowLastColumn="0"/>
              <w:rPr>
                <w:lang w:val="en-AU"/>
              </w:rPr>
            </w:pPr>
            <w:r w:rsidRPr="00985B31">
              <w:t>Reportable gases include:</w:t>
            </w:r>
          </w:p>
          <w:p w14:paraId="7C3D5A86" w14:textId="3041205C" w:rsidR="00FE44F7" w:rsidRPr="008037D1" w:rsidRDefault="00FE44F7" w:rsidP="0074270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CO</w:t>
            </w:r>
            <w:r w:rsidRPr="008037D1">
              <w:rPr>
                <w:vertAlign w:val="subscript"/>
              </w:rPr>
              <w:t>2</w:t>
            </w:r>
          </w:p>
          <w:p w14:paraId="58C6BD84" w14:textId="77777777" w:rsidR="00FE44F7" w:rsidRPr="008037D1" w:rsidRDefault="00FE44F7" w:rsidP="0074270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CH</w:t>
            </w:r>
            <w:r w:rsidRPr="008037D1">
              <w:rPr>
                <w:vertAlign w:val="subscript"/>
              </w:rPr>
              <w:t>4</w:t>
            </w:r>
            <w:r w:rsidRPr="00985B31">
              <w:t xml:space="preserve"> </w:t>
            </w:r>
          </w:p>
          <w:p w14:paraId="5B614E16" w14:textId="77777777" w:rsidR="00FE44F7" w:rsidRPr="008037D1" w:rsidRDefault="00FE44F7" w:rsidP="0074270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N</w:t>
            </w:r>
            <w:r w:rsidRPr="008037D1">
              <w:rPr>
                <w:vertAlign w:val="subscript"/>
              </w:rPr>
              <w:t>2</w:t>
            </w:r>
            <w:r w:rsidRPr="00985B31">
              <w:t>O</w:t>
            </w:r>
          </w:p>
          <w:p w14:paraId="3EFD99BA" w14:textId="4D834296" w:rsidR="00FE44F7" w:rsidRPr="008037D1" w:rsidRDefault="00FE44F7" w:rsidP="0074270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other</w:t>
            </w:r>
          </w:p>
          <w:p w14:paraId="21FF5874" w14:textId="343813E0" w:rsidR="00FE44F7" w:rsidRPr="008037D1" w:rsidRDefault="00BD396D" w:rsidP="008037D1">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Pr>
                <w:lang w:val="en-AU"/>
              </w:rPr>
              <w:t>T</w:t>
            </w:r>
            <w:proofErr w:type="spellStart"/>
            <w:r w:rsidR="00FE44F7" w:rsidRPr="00985B31">
              <w:t>ota</w:t>
            </w:r>
            <w:proofErr w:type="spellEnd"/>
            <w:r>
              <w:rPr>
                <w:lang w:val="en-AU"/>
              </w:rPr>
              <w:t>l</w:t>
            </w:r>
            <w:r w:rsidR="00FE44F7" w:rsidRPr="00985B31">
              <w:t xml:space="preserve"> as</w:t>
            </w:r>
            <w:r>
              <w:rPr>
                <w:lang w:val="en-AU"/>
              </w:rPr>
              <w:t xml:space="preserve"> tonnes of</w:t>
            </w:r>
            <w:r w:rsidR="00FE44F7" w:rsidRPr="00985B31">
              <w:t xml:space="preserve"> </w:t>
            </w:r>
            <w:r w:rsidRPr="00E30AE6">
              <w:rPr>
                <w:rFonts w:eastAsia="Times"/>
              </w:rPr>
              <w:t>CO</w:t>
            </w:r>
            <w:r w:rsidRPr="00A838BF">
              <w:rPr>
                <w:rFonts w:eastAsia="Times"/>
                <w:vertAlign w:val="subscript"/>
              </w:rPr>
              <w:t>2</w:t>
            </w:r>
            <w:r w:rsidR="00FE44F7" w:rsidRPr="00227074">
              <w:t xml:space="preserve">-e. </w:t>
            </w:r>
            <w:r w:rsidR="001356D2">
              <w:rPr>
                <w:lang w:val="en-AU"/>
              </w:rPr>
              <w:t>U</w:t>
            </w:r>
            <w:r w:rsidR="00FE44F7" w:rsidRPr="00227074">
              <w:t xml:space="preserve">se units of </w:t>
            </w:r>
            <w:proofErr w:type="spellStart"/>
            <w:r w:rsidR="00FE44F7" w:rsidRPr="00227074">
              <w:t>tonnes</w:t>
            </w:r>
            <w:proofErr w:type="spellEnd"/>
            <w:r w:rsidR="00FE44F7" w:rsidRPr="00227074">
              <w:t xml:space="preserve"> </w:t>
            </w:r>
            <w:r w:rsidRPr="00E30AE6">
              <w:rPr>
                <w:rFonts w:eastAsia="Times"/>
              </w:rPr>
              <w:t>CO</w:t>
            </w:r>
            <w:r w:rsidRPr="00A838BF">
              <w:rPr>
                <w:rFonts w:eastAsia="Times"/>
                <w:vertAlign w:val="subscript"/>
              </w:rPr>
              <w:t>2</w:t>
            </w:r>
            <w:r w:rsidR="00FE44F7" w:rsidRPr="00227074">
              <w:t>-e for all gases.</w:t>
            </w:r>
          </w:p>
        </w:tc>
        <w:tc>
          <w:tcPr>
            <w:tcW w:w="3543" w:type="dxa"/>
          </w:tcPr>
          <w:p w14:paraId="4D8E7B70" w14:textId="0745A4C6" w:rsidR="004C3B36" w:rsidRPr="008037D1" w:rsidRDefault="001D6C9C"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985B31">
              <w:t xml:space="preserve">EDMS </w:t>
            </w:r>
            <w:r w:rsidR="00F55EF5" w:rsidRPr="00985B31">
              <w:t>may</w:t>
            </w:r>
            <w:r w:rsidRPr="00985B31">
              <w:t xml:space="preserve"> calculate some of this data </w:t>
            </w:r>
            <w:r w:rsidR="002C4552" w:rsidRPr="00985B31">
              <w:t xml:space="preserve">for </w:t>
            </w:r>
            <w:r w:rsidRPr="00985B31">
              <w:t>carbon dioxide</w:t>
            </w:r>
            <w:r w:rsidR="00F55EF5" w:rsidRPr="00985B31">
              <w:t xml:space="preserve"> </w:t>
            </w:r>
            <w:r w:rsidR="00F20875" w:rsidRPr="00985B31">
              <w:t>(</w:t>
            </w:r>
            <w:r w:rsidR="00BD396D" w:rsidRPr="00E30AE6">
              <w:rPr>
                <w:rFonts w:eastAsia="Times"/>
              </w:rPr>
              <w:t>CO</w:t>
            </w:r>
            <w:r w:rsidR="00BD396D" w:rsidRPr="00A838BF">
              <w:rPr>
                <w:rFonts w:eastAsia="Times"/>
                <w:vertAlign w:val="subscript"/>
              </w:rPr>
              <w:t>2</w:t>
            </w:r>
            <w:r w:rsidR="00F20875" w:rsidRPr="00985B31">
              <w:t>)</w:t>
            </w:r>
            <w:r w:rsidRPr="00985B31">
              <w:t>, methane</w:t>
            </w:r>
            <w:r w:rsidR="00F55EF5" w:rsidRPr="00985B31">
              <w:t xml:space="preserve"> </w:t>
            </w:r>
            <w:r w:rsidR="00F20875" w:rsidRPr="00985B31">
              <w:t>(</w:t>
            </w:r>
            <w:r w:rsidR="00F55EF5" w:rsidRPr="00985B31">
              <w:t>CH</w:t>
            </w:r>
            <w:r w:rsidR="00F55EF5" w:rsidRPr="008037D1">
              <w:rPr>
                <w:vertAlign w:val="subscript"/>
              </w:rPr>
              <w:t>4</w:t>
            </w:r>
            <w:r w:rsidR="00F20875" w:rsidRPr="00985B31">
              <w:t>)</w:t>
            </w:r>
            <w:r w:rsidRPr="00985B31">
              <w:t>, nitrous oxide</w:t>
            </w:r>
            <w:r w:rsidR="00F55EF5" w:rsidRPr="00985B31">
              <w:t xml:space="preserve"> </w:t>
            </w:r>
            <w:r w:rsidR="00F20875" w:rsidRPr="00985B31">
              <w:t>(</w:t>
            </w:r>
            <w:r w:rsidR="00BD396D" w:rsidRPr="00985B31">
              <w:t>N</w:t>
            </w:r>
            <w:r w:rsidR="00BD396D" w:rsidRPr="008037D1">
              <w:rPr>
                <w:vertAlign w:val="subscript"/>
              </w:rPr>
              <w:t>2</w:t>
            </w:r>
            <w:r w:rsidR="00BD396D">
              <w:rPr>
                <w:lang w:val="en-AU"/>
              </w:rPr>
              <w:t>O</w:t>
            </w:r>
            <w:r w:rsidR="00F20875" w:rsidRPr="00985B31">
              <w:t>)</w:t>
            </w:r>
            <w:r w:rsidRPr="00985B31">
              <w:t xml:space="preserve">, </w:t>
            </w:r>
            <w:r w:rsidR="009F0C10" w:rsidRPr="00985B31">
              <w:t xml:space="preserve">and </w:t>
            </w:r>
            <w:r w:rsidRPr="00985B31">
              <w:t>emissions from</w:t>
            </w:r>
            <w:r w:rsidR="001E2161" w:rsidRPr="00985B31">
              <w:t xml:space="preserve"> </w:t>
            </w:r>
            <w:r w:rsidRPr="00985B31">
              <w:t xml:space="preserve">stationary fuel </w:t>
            </w:r>
            <w:r w:rsidR="00F20875" w:rsidRPr="00985B31">
              <w:t>(</w:t>
            </w:r>
            <w:r w:rsidR="00F55EF5" w:rsidRPr="00985B31">
              <w:t>F2</w:t>
            </w:r>
            <w:r w:rsidR="00F20875" w:rsidRPr="00985B31">
              <w:t>)</w:t>
            </w:r>
            <w:r w:rsidR="00F55EF5" w:rsidRPr="00985B31">
              <w:t xml:space="preserve"> </w:t>
            </w:r>
            <w:r w:rsidRPr="00985B31">
              <w:t>and vehicle fleet</w:t>
            </w:r>
            <w:r w:rsidR="00F55EF5" w:rsidRPr="00985B31">
              <w:t xml:space="preserve"> </w:t>
            </w:r>
            <w:r w:rsidR="00F20875" w:rsidRPr="00985B31">
              <w:t>(</w:t>
            </w:r>
            <w:r w:rsidR="00F55EF5" w:rsidRPr="00985B31">
              <w:t>T3</w:t>
            </w:r>
            <w:r w:rsidRPr="00985B31">
              <w:t>)</w:t>
            </w:r>
            <w:r w:rsidR="00D97BA4">
              <w:t>.</w:t>
            </w:r>
          </w:p>
          <w:p w14:paraId="5BF1127C" w14:textId="32A293D1" w:rsidR="00FE44F7" w:rsidRPr="008037D1" w:rsidRDefault="00F55EF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985B31">
              <w:t>Otherwise combine the s</w:t>
            </w:r>
            <w:r w:rsidR="00FE44F7" w:rsidRPr="00985B31">
              <w:t>um of F2, T3 and data for any other material emission sources, including:</w:t>
            </w:r>
          </w:p>
          <w:p w14:paraId="4A5F0FAA" w14:textId="70ED26E7" w:rsidR="00FE44F7" w:rsidRPr="008037D1" w:rsidRDefault="00FE44F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use of medical gases</w:t>
            </w:r>
            <w:r w:rsidR="00A33366">
              <w:t xml:space="preserve"> (</w:t>
            </w:r>
            <w:r w:rsidR="00A33366">
              <w:rPr>
                <w:lang w:val="en-AU"/>
              </w:rPr>
              <w:t>s</w:t>
            </w:r>
            <w:r w:rsidR="00A33366" w:rsidRPr="00A33366">
              <w:rPr>
                <w:lang w:val="en-AU"/>
              </w:rPr>
              <w:t>ee</w:t>
            </w:r>
            <w:r w:rsidR="0046666F">
              <w:rPr>
                <w:lang w:val="en-AU"/>
              </w:rPr>
              <w:t xml:space="preserve"> </w:t>
            </w:r>
            <w:hyperlink w:anchor="_Appendix_E:_Medical" w:history="1">
              <w:r w:rsidR="0046666F" w:rsidRPr="0046666F">
                <w:rPr>
                  <w:rStyle w:val="Hyperlink"/>
                  <w:rFonts w:eastAsia="Times New Roman"/>
                  <w:b/>
                  <w:bCs/>
                  <w:color w:val="auto"/>
                  <w:szCs w:val="20"/>
                  <w:u w:val="single"/>
                  <w:lang w:val="en-AU"/>
                </w:rPr>
                <w:t>Appendix E: Medical Gases and refrigerants</w:t>
              </w:r>
            </w:hyperlink>
            <w:r w:rsidR="00A33366">
              <w:t>)</w:t>
            </w:r>
            <w:r w:rsidRPr="00985B31">
              <w:t xml:space="preserve"> </w:t>
            </w:r>
          </w:p>
          <w:p w14:paraId="3BE8C6D2" w14:textId="77777777"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use own purchasing data to calculate kgs of nitrous oxide</w:t>
            </w:r>
          </w:p>
          <w:p w14:paraId="6C204CDD" w14:textId="34521901"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use own pharmacy data to calculate kgs of desflurane, sevoflurane and isoflurane</w:t>
            </w:r>
          </w:p>
          <w:p w14:paraId="73E4F55E" w14:textId="2598D92D"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inspect purchasing records (</w:t>
            </w:r>
            <w:r w:rsidR="001356D2">
              <w:rPr>
                <w:lang w:val="en-AU"/>
              </w:rPr>
              <w:t>like</w:t>
            </w:r>
            <w:r w:rsidRPr="00985B31">
              <w:t xml:space="preserve"> number of cylinders and quantity per cylinder) for each gas </w:t>
            </w:r>
            <w:r w:rsidR="00F55EF5" w:rsidRPr="00985B31">
              <w:t xml:space="preserve">type </w:t>
            </w:r>
            <w:r w:rsidRPr="00985B31">
              <w:t>to calculate kg</w:t>
            </w:r>
            <w:r w:rsidR="001356D2">
              <w:rPr>
                <w:lang w:val="en-AU"/>
              </w:rPr>
              <w:t>s</w:t>
            </w:r>
            <w:r w:rsidRPr="00985B31">
              <w:t xml:space="preserve"> of refrigerants</w:t>
            </w:r>
            <w:r w:rsidR="0074270C" w:rsidRPr="00985B31">
              <w:t xml:space="preserve"> (see </w:t>
            </w:r>
            <w:r w:rsidR="0074270C" w:rsidRPr="008037D1">
              <w:rPr>
                <w:b/>
                <w:bCs/>
              </w:rPr>
              <w:t>Note</w:t>
            </w:r>
            <w:r w:rsidR="0074270C" w:rsidRPr="00985B31">
              <w:t>).</w:t>
            </w:r>
          </w:p>
          <w:p w14:paraId="3EA55489" w14:textId="73D05A01" w:rsidR="001E2161" w:rsidRPr="008037D1" w:rsidRDefault="001356D2"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Pr>
                <w:lang w:val="en-AU"/>
              </w:rPr>
              <w:t>f</w:t>
            </w:r>
            <w:proofErr w:type="spellStart"/>
            <w:r w:rsidR="001E2161" w:rsidRPr="00985B31">
              <w:t>ugitive</w:t>
            </w:r>
            <w:proofErr w:type="spellEnd"/>
            <w:r w:rsidR="001E2161" w:rsidRPr="00985B31">
              <w:t xml:space="preserve"> emissions from refrigeration and air conditioning, electrical equipment and suppression equipment</w:t>
            </w:r>
            <w:r w:rsidR="0074270C" w:rsidRPr="00985B31">
              <w:t xml:space="preserve"> – two primary methods:</w:t>
            </w:r>
          </w:p>
          <w:p w14:paraId="04ABC4EA" w14:textId="46563922" w:rsidR="001E2161" w:rsidRPr="008037D1" w:rsidRDefault="001E2161"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 xml:space="preserve">asset or equipment registers or surveys (for refrigeration, electrical, fire suppression and air conditioning equipment) to identify total stock and then use standard leakage rates – available in NGA </w:t>
            </w:r>
            <w:r w:rsidR="0016169C">
              <w:rPr>
                <w:lang w:val="en-AU"/>
              </w:rPr>
              <w:t>f</w:t>
            </w:r>
            <w:r w:rsidRPr="00985B31">
              <w:t>actors</w:t>
            </w:r>
          </w:p>
          <w:p w14:paraId="1E871013" w14:textId="398C01B0" w:rsidR="001E2161" w:rsidRPr="008037D1" w:rsidRDefault="001E2161"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where equipment needs to be recharged</w:t>
            </w:r>
            <w:r w:rsidR="0016169C">
              <w:rPr>
                <w:lang w:val="en-AU"/>
              </w:rPr>
              <w:t>:</w:t>
            </w:r>
            <w:r w:rsidRPr="00985B31">
              <w:t xml:space="preserve"> the volume of gas used to recharge equipment</w:t>
            </w:r>
          </w:p>
          <w:p w14:paraId="32C42D2A" w14:textId="77EC0068" w:rsidR="009E2D89" w:rsidRPr="008037D1" w:rsidRDefault="00393055" w:rsidP="00393055">
            <w:pPr>
              <w:pStyle w:val="Tablebullet2"/>
              <w:numPr>
                <w:ilvl w:val="0"/>
                <w:numId w:val="0"/>
              </w:numPr>
              <w:ind w:left="454"/>
              <w:cnfStyle w:val="000000100000" w:firstRow="0" w:lastRow="0" w:firstColumn="0" w:lastColumn="0" w:oddVBand="0" w:evenVBand="0" w:oddHBand="1" w:evenHBand="0" w:firstRowFirstColumn="0" w:firstRowLastColumn="0" w:lastRowFirstColumn="0" w:lastRowLastColumn="0"/>
              <w:rPr>
                <w:lang w:val="en-AU"/>
              </w:rPr>
            </w:pPr>
            <w:r>
              <w:t>T</w:t>
            </w:r>
            <w:r w:rsidR="001E2161" w:rsidRPr="00985B31">
              <w:t xml:space="preserve">hen use NGA </w:t>
            </w:r>
            <w:r w:rsidR="0016169C">
              <w:rPr>
                <w:lang w:val="en-AU"/>
              </w:rPr>
              <w:t>f</w:t>
            </w:r>
            <w:r w:rsidR="001E2161" w:rsidRPr="00985B31">
              <w:t xml:space="preserve">actors to convert to </w:t>
            </w:r>
            <w:proofErr w:type="spellStart"/>
            <w:r w:rsidR="001E2161" w:rsidRPr="00985B31">
              <w:t>tonnes</w:t>
            </w:r>
            <w:proofErr w:type="spellEnd"/>
            <w:r w:rsidR="001E2161" w:rsidRPr="00985B31">
              <w:t xml:space="preserve"> </w:t>
            </w:r>
            <w:r w:rsidR="00BD396D" w:rsidRPr="00E30AE6">
              <w:rPr>
                <w:rFonts w:eastAsia="Times"/>
              </w:rPr>
              <w:t>CO</w:t>
            </w:r>
            <w:r w:rsidR="00BD396D" w:rsidRPr="00A838BF">
              <w:rPr>
                <w:rFonts w:eastAsia="Times"/>
                <w:vertAlign w:val="subscript"/>
              </w:rPr>
              <w:t>2</w:t>
            </w:r>
            <w:r w:rsidR="001E2161" w:rsidRPr="00985B31">
              <w:t>-e</w:t>
            </w:r>
            <w:r w:rsidR="00967B2C">
              <w:t>.</w:t>
            </w:r>
          </w:p>
        </w:tc>
        <w:tc>
          <w:tcPr>
            <w:tcW w:w="1020" w:type="dxa"/>
          </w:tcPr>
          <w:p w14:paraId="2B057F5F" w14:textId="3A5D58D2"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985B31">
              <w:t>Tier</w:t>
            </w:r>
            <w:r w:rsidR="0016169C">
              <w:rPr>
                <w:lang w:val="en-AU"/>
              </w:rPr>
              <w:t>s</w:t>
            </w:r>
            <w:r w:rsidRPr="00985B31">
              <w:t xml:space="preserve"> 2 and 3a</w:t>
            </w:r>
          </w:p>
        </w:tc>
      </w:tr>
      <w:tr w:rsidR="00D20C6B" w:rsidRPr="00985B31" w14:paraId="1CD7B827" w14:textId="77777777" w:rsidTr="006A6CEA">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Pr>
          <w:p w14:paraId="720B7BC8" w14:textId="1ACB4CB3" w:rsidR="000742B1" w:rsidRPr="008037D1" w:rsidRDefault="00FE44F7" w:rsidP="008037D1">
            <w:pPr>
              <w:pStyle w:val="Tabletext"/>
              <w:rPr>
                <w:lang w:val="en-AU"/>
              </w:rPr>
            </w:pPr>
            <w:r w:rsidRPr="00985B31">
              <w:rPr>
                <w:b/>
                <w:bCs/>
              </w:rPr>
              <w:t>G2</w:t>
            </w:r>
            <w:r w:rsidR="0074270C" w:rsidRPr="00985B31">
              <w:t xml:space="preserve">: </w:t>
            </w:r>
            <w:r w:rsidRPr="00985B31">
              <w:t xml:space="preserve">Total </w:t>
            </w:r>
            <w:r w:rsidR="00985B31" w:rsidRPr="00985B31">
              <w:t xml:space="preserve">Scope 2 </w:t>
            </w:r>
            <w:r w:rsidRPr="00985B31">
              <w:t xml:space="preserve">(indirect electricity) </w:t>
            </w:r>
            <w:r w:rsidR="00F20875" w:rsidRPr="00985B31">
              <w:t>g</w:t>
            </w:r>
            <w:r w:rsidRPr="00985B31">
              <w:t>reenhouse gas emissions (</w:t>
            </w:r>
            <w:proofErr w:type="spellStart"/>
            <w:r w:rsidRPr="00985B31">
              <w:t>tonnes</w:t>
            </w:r>
            <w:proofErr w:type="spellEnd"/>
            <w:r w:rsidRPr="00985B31">
              <w:t xml:space="preserve"> </w:t>
            </w:r>
            <w:r w:rsidR="00BD396D" w:rsidRPr="00E30AE6">
              <w:rPr>
                <w:rFonts w:eastAsia="Times"/>
              </w:rPr>
              <w:t>CO</w:t>
            </w:r>
            <w:r w:rsidR="00BD396D" w:rsidRPr="00A838BF">
              <w:rPr>
                <w:rFonts w:eastAsia="Times"/>
                <w:vertAlign w:val="subscript"/>
              </w:rPr>
              <w:t>2</w:t>
            </w:r>
            <w:r w:rsidR="00BD396D">
              <w:rPr>
                <w:lang w:val="en-AU"/>
              </w:rPr>
              <w:noBreakHyphen/>
            </w:r>
            <w:r w:rsidRPr="00985B31">
              <w:t>e)</w:t>
            </w:r>
          </w:p>
          <w:p w14:paraId="0F910BA6" w14:textId="2B204047" w:rsidR="000742B1" w:rsidRPr="008037D1" w:rsidRDefault="000742B1" w:rsidP="008037D1">
            <w:pPr>
              <w:pStyle w:val="Tablebullet1"/>
              <w:rPr>
                <w:b/>
                <w:lang w:val="en-AU"/>
              </w:rPr>
            </w:pPr>
            <w:r w:rsidRPr="008037D1">
              <w:rPr>
                <w:szCs w:val="20"/>
              </w:rPr>
              <w:t>Reported through the EDMS</w:t>
            </w:r>
          </w:p>
        </w:tc>
        <w:tc>
          <w:tcPr>
            <w:tcW w:w="2977" w:type="dxa"/>
          </w:tcPr>
          <w:p w14:paraId="0DDA9D62" w14:textId="2A9E0FC1"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szCs w:val="20"/>
                <w:lang w:val="en-AU"/>
              </w:rPr>
              <w:t>No segmentation</w:t>
            </w:r>
          </w:p>
        </w:tc>
        <w:tc>
          <w:tcPr>
            <w:tcW w:w="3543" w:type="dxa"/>
          </w:tcPr>
          <w:p w14:paraId="59B8E0AB" w14:textId="74AA78CD"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985B31">
              <w:t xml:space="preserve">Calculate from data disclosed in </w:t>
            </w:r>
            <w:r w:rsidRPr="008037D1">
              <w:rPr>
                <w:rStyle w:val="Strong"/>
              </w:rPr>
              <w:t>EL1</w:t>
            </w:r>
            <w:r w:rsidRPr="00985B31">
              <w:t xml:space="preserve"> and </w:t>
            </w:r>
            <w:r w:rsidRPr="008037D1">
              <w:rPr>
                <w:rStyle w:val="Strong"/>
              </w:rPr>
              <w:t>EL4</w:t>
            </w:r>
            <w:r w:rsidRPr="00985B31">
              <w:t xml:space="preserve">. Use the market-based method of Climate Active’s </w:t>
            </w:r>
            <w:r w:rsidR="0016169C" w:rsidRPr="0016169C">
              <w:rPr>
                <w:lang w:val="en-AU"/>
              </w:rPr>
              <w:t xml:space="preserve">electricity accounting </w:t>
            </w:r>
            <w:r w:rsidRPr="00985B31">
              <w:t>rules</w:t>
            </w:r>
          </w:p>
          <w:p w14:paraId="16D47F90" w14:textId="27D0759F" w:rsidR="00CF59FE" w:rsidRPr="008037D1" w:rsidRDefault="00CF59FE" w:rsidP="008037D1">
            <w:pPr>
              <w:pStyle w:val="Tablebullet1"/>
              <w:cnfStyle w:val="000000010000" w:firstRow="0" w:lastRow="0" w:firstColumn="0" w:lastColumn="0" w:oddVBand="0" w:evenVBand="0" w:oddHBand="0" w:evenHBand="1" w:firstRowFirstColumn="0" w:firstRowLastColumn="0" w:lastRowFirstColumn="0" w:lastRowLastColumn="0"/>
              <w:rPr>
                <w:rFonts w:cs="Arial"/>
                <w:szCs w:val="21"/>
                <w:lang w:val="en-AU"/>
              </w:rPr>
            </w:pPr>
            <w:r w:rsidRPr="00985B31">
              <w:t xml:space="preserve">EDMS can calculate this data </w:t>
            </w:r>
            <w:r w:rsidR="0016169C">
              <w:rPr>
                <w:lang w:val="en-AU"/>
              </w:rPr>
              <w:t>f</w:t>
            </w:r>
            <w:r w:rsidRPr="00985B31">
              <w:t>or market-based electricity emissions, co</w:t>
            </w:r>
            <w:r w:rsidR="0016169C">
              <w:rPr>
                <w:lang w:val="en-AU"/>
              </w:rPr>
              <w:t>-</w:t>
            </w:r>
            <w:r w:rsidRPr="00985B31">
              <w:t>generation steam and co</w:t>
            </w:r>
            <w:r w:rsidR="0016169C">
              <w:rPr>
                <w:lang w:val="en-AU"/>
              </w:rPr>
              <w:t>-</w:t>
            </w:r>
            <w:r w:rsidRPr="00985B31">
              <w:t>generation electricity</w:t>
            </w:r>
          </w:p>
        </w:tc>
        <w:tc>
          <w:tcPr>
            <w:tcW w:w="1020" w:type="dxa"/>
          </w:tcPr>
          <w:p w14:paraId="712E6B4F" w14:textId="76385F30" w:rsidR="00FE44F7" w:rsidRPr="008037D1" w:rsidRDefault="00FE44F7"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985B31">
              <w:t>Tier</w:t>
            </w:r>
            <w:r w:rsidR="0016169C">
              <w:rPr>
                <w:lang w:val="en-AU"/>
              </w:rPr>
              <w:t>s</w:t>
            </w:r>
            <w:r w:rsidRPr="00985B31">
              <w:t xml:space="preserve"> 2 and 3a</w:t>
            </w:r>
          </w:p>
        </w:tc>
      </w:tr>
      <w:tr w:rsidR="00D20C6B" w:rsidRPr="00985B31" w14:paraId="35BE9371" w14:textId="77777777" w:rsidTr="006A6C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Pr>
          <w:p w14:paraId="0D2CC830" w14:textId="0890694F" w:rsidR="005F639E" w:rsidRPr="008037D1" w:rsidRDefault="00FE44F7" w:rsidP="008037D1">
            <w:pPr>
              <w:pStyle w:val="Tabletext"/>
              <w:rPr>
                <w:lang w:val="en-AU"/>
              </w:rPr>
            </w:pPr>
            <w:r w:rsidRPr="00985B31">
              <w:rPr>
                <w:b/>
                <w:bCs/>
              </w:rPr>
              <w:t>G3</w:t>
            </w:r>
            <w:r w:rsidR="0074270C" w:rsidRPr="00985B31">
              <w:t xml:space="preserve">: </w:t>
            </w:r>
            <w:r w:rsidRPr="00985B31">
              <w:t xml:space="preserve">Total </w:t>
            </w:r>
            <w:r w:rsidR="00985B31" w:rsidRPr="00985B31">
              <w:t xml:space="preserve">Scope 3 </w:t>
            </w:r>
            <w:r w:rsidRPr="00985B31">
              <w:t xml:space="preserve">(other indirect) greenhouse gas emissions </w:t>
            </w:r>
            <w:r w:rsidR="0074270C" w:rsidRPr="00985B31">
              <w:t xml:space="preserve">associated </w:t>
            </w:r>
            <w:r w:rsidRPr="00985B31">
              <w:t>with commercial air travel and waste disposal</w:t>
            </w:r>
          </w:p>
          <w:p w14:paraId="1AC06CCA" w14:textId="3647A0F1" w:rsidR="000742B1" w:rsidRPr="008037D1" w:rsidRDefault="005F639E" w:rsidP="008037D1">
            <w:pPr>
              <w:pStyle w:val="Tablebullet1"/>
              <w:rPr>
                <w:rFonts w:cs="Arial"/>
                <w:szCs w:val="21"/>
                <w:lang w:val="en-AU"/>
              </w:rPr>
            </w:pPr>
            <w:r w:rsidRPr="008037D1">
              <w:rPr>
                <w:szCs w:val="20"/>
              </w:rPr>
              <w:t>Reported through the EDMS</w:t>
            </w:r>
          </w:p>
        </w:tc>
        <w:tc>
          <w:tcPr>
            <w:tcW w:w="2977" w:type="dxa"/>
          </w:tcPr>
          <w:p w14:paraId="7F1D1115" w14:textId="582FCB57"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szCs w:val="20"/>
                <w:lang w:val="en-AU"/>
              </w:rPr>
              <w:t>No segmentation</w:t>
            </w:r>
          </w:p>
        </w:tc>
        <w:tc>
          <w:tcPr>
            <w:tcW w:w="3543" w:type="dxa"/>
          </w:tcPr>
          <w:p w14:paraId="36F7C151" w14:textId="55E86F4F" w:rsidR="00CC4089" w:rsidRPr="008037D1" w:rsidRDefault="00CC4089" w:rsidP="0016169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EDMS can calculate this data</w:t>
            </w:r>
            <w:r w:rsidR="0016169C">
              <w:rPr>
                <w:lang w:val="en-AU"/>
              </w:rPr>
              <w:t>.</w:t>
            </w:r>
          </w:p>
          <w:p w14:paraId="19254E90" w14:textId="7DE0A374" w:rsidR="00FE44F7" w:rsidRPr="008037D1" w:rsidRDefault="00FE44F7" w:rsidP="0016169C">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 xml:space="preserve">Sum of </w:t>
            </w:r>
            <w:r w:rsidRPr="008037D1">
              <w:rPr>
                <w:rStyle w:val="Strong"/>
              </w:rPr>
              <w:t>WR5</w:t>
            </w:r>
            <w:r w:rsidRPr="00985B31">
              <w:t xml:space="preserve"> and greenhouse gas emissions data from travel service provider</w:t>
            </w:r>
          </w:p>
          <w:p w14:paraId="350BFF2D" w14:textId="5741D04F" w:rsidR="00D20C6B" w:rsidRPr="00985B31" w:rsidRDefault="00D20C6B" w:rsidP="00D20C6B">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M</w:t>
            </w:r>
            <w:r w:rsidR="00FE44F7" w:rsidRPr="00985B31">
              <w:t xml:space="preserve">ost Victorian </w:t>
            </w:r>
            <w:r w:rsidR="0016169C">
              <w:rPr>
                <w:lang w:val="en-AU"/>
              </w:rPr>
              <w:t>g</w:t>
            </w:r>
            <w:proofErr w:type="spellStart"/>
            <w:r w:rsidR="0016169C" w:rsidRPr="00985B31">
              <w:t>overnment</w:t>
            </w:r>
            <w:proofErr w:type="spellEnd"/>
            <w:r w:rsidR="0016169C" w:rsidRPr="00985B31">
              <w:t xml:space="preserve"> </w:t>
            </w:r>
            <w:r w:rsidRPr="00985B31">
              <w:t>entities can get</w:t>
            </w:r>
            <w:r w:rsidR="00FE44F7" w:rsidRPr="00985B31">
              <w:t xml:space="preserve"> a</w:t>
            </w:r>
            <w:r w:rsidR="00DE0B3A" w:rsidRPr="00985B31">
              <w:t xml:space="preserve"> </w:t>
            </w:r>
            <w:r w:rsidR="00FE44F7" w:rsidRPr="00227074">
              <w:rPr>
                <w:szCs w:val="20"/>
              </w:rPr>
              <w:t>detailed</w:t>
            </w:r>
            <w:r w:rsidR="00FE44F7" w:rsidRPr="00985B31">
              <w:t xml:space="preserve"> carbon report</w:t>
            </w:r>
            <w:r w:rsidRPr="00985B31">
              <w:t xml:space="preserve"> </w:t>
            </w:r>
            <w:r w:rsidR="00FE44F7" w:rsidRPr="00985B31">
              <w:t xml:space="preserve">from </w:t>
            </w:r>
            <w:r w:rsidRPr="00985B31">
              <w:t>CTM (</w:t>
            </w:r>
            <w:r w:rsidR="00FE44F7" w:rsidRPr="00985B31">
              <w:t>corporate travel provider</w:t>
            </w:r>
            <w:r w:rsidRPr="00985B31">
              <w:t>)</w:t>
            </w:r>
            <w:r w:rsidR="00FE44F7" w:rsidRPr="00985B31">
              <w:t>.</w:t>
            </w:r>
            <w:r w:rsidR="00DE0B3A" w:rsidRPr="00985B31">
              <w:t xml:space="preserve"> </w:t>
            </w:r>
            <w:r w:rsidRPr="00985B31">
              <w:rPr>
                <w:lang w:val="en-AU"/>
              </w:rPr>
              <w:t>To request the report:</w:t>
            </w:r>
          </w:p>
          <w:p w14:paraId="2849314C" w14:textId="77777777" w:rsidR="00D20C6B" w:rsidRPr="00985B31" w:rsidRDefault="00D20C6B" w:rsidP="00D20C6B">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rPr>
                <w:lang w:val="en-AU"/>
              </w:rPr>
              <w:t xml:space="preserve">email CTM: connie.ivanoski@travelctm.com </w:t>
            </w:r>
          </w:p>
          <w:p w14:paraId="4743AE92" w14:textId="0E4DAF46" w:rsidR="00FE44F7" w:rsidRPr="008037D1" w:rsidRDefault="00D20C6B"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rPr>
                <w:lang w:val="en-AU"/>
              </w:rPr>
              <w:t>provide your organisation name and reporting year</w:t>
            </w:r>
            <w:r w:rsidR="00FE44F7" w:rsidRPr="00985B31">
              <w:t>.</w:t>
            </w:r>
          </w:p>
          <w:p w14:paraId="0A8D0317" w14:textId="7149FE59" w:rsidR="00FE44F7" w:rsidRPr="008037D1" w:rsidRDefault="00FE44F7"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985B31">
              <w:t xml:space="preserve">If an entity does not use </w:t>
            </w:r>
            <w:r w:rsidRPr="00227074">
              <w:rPr>
                <w:szCs w:val="20"/>
              </w:rPr>
              <w:t>CTM</w:t>
            </w:r>
            <w:r w:rsidRPr="00985B31">
              <w:t xml:space="preserve"> for corporate travel</w:t>
            </w:r>
            <w:r w:rsidR="00D20C6B" w:rsidRPr="00985B31">
              <w:t>,</w:t>
            </w:r>
            <w:r w:rsidRPr="00985B31">
              <w:t xml:space="preserve"> use data provided by:</w:t>
            </w:r>
          </w:p>
          <w:p w14:paraId="5EBC39FB" w14:textId="5549CFBE"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airlines</w:t>
            </w:r>
          </w:p>
          <w:p w14:paraId="76094DF6" w14:textId="6F11149A"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 xml:space="preserve">the International Civil Aviation </w:t>
            </w:r>
            <w:proofErr w:type="spellStart"/>
            <w:r w:rsidRPr="00985B31">
              <w:t>Organisation’s</w:t>
            </w:r>
            <w:proofErr w:type="spellEnd"/>
            <w:r w:rsidRPr="00985B31">
              <w:t xml:space="preserve"> </w:t>
            </w:r>
            <w:r w:rsidR="00D20C6B" w:rsidRPr="00985B31">
              <w:t xml:space="preserve">carbon emissions calculator </w:t>
            </w:r>
            <w:r w:rsidRPr="00985B31">
              <w:t>and route data</w:t>
            </w:r>
          </w:p>
          <w:p w14:paraId="5E00D944" w14:textId="03EF00C2" w:rsidR="00FE44F7" w:rsidRPr="008037D1" w:rsidRDefault="00FE44F7" w:rsidP="008037D1">
            <w:pPr>
              <w:pStyle w:val="Tablebullet2"/>
              <w:cnfStyle w:val="000000100000" w:firstRow="0" w:lastRow="0" w:firstColumn="0" w:lastColumn="0" w:oddVBand="0" w:evenVBand="0" w:oddHBand="1" w:evenHBand="0" w:firstRowFirstColumn="0" w:firstRowLastColumn="0" w:lastRowFirstColumn="0" w:lastRowLastColumn="0"/>
              <w:rPr>
                <w:lang w:val="en-AU"/>
              </w:rPr>
            </w:pPr>
            <w:r w:rsidRPr="00985B31">
              <w:t xml:space="preserve">the average emissions factor in the </w:t>
            </w:r>
            <w:r w:rsidR="00D20C6B" w:rsidRPr="00985B31">
              <w:t>guidance m</w:t>
            </w:r>
            <w:r w:rsidRPr="00985B31">
              <w:t>anual.</w:t>
            </w:r>
          </w:p>
        </w:tc>
        <w:tc>
          <w:tcPr>
            <w:tcW w:w="1020" w:type="dxa"/>
          </w:tcPr>
          <w:p w14:paraId="619BEC21" w14:textId="6AB54876" w:rsidR="00FE44F7" w:rsidRPr="008037D1" w:rsidRDefault="00FE44F7"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985B31">
              <w:t>Tier</w:t>
            </w:r>
            <w:r w:rsidR="0016169C">
              <w:rPr>
                <w:lang w:val="en-AU"/>
              </w:rPr>
              <w:t>s</w:t>
            </w:r>
            <w:r w:rsidRPr="00985B31">
              <w:t xml:space="preserve"> 2 and 3a</w:t>
            </w:r>
          </w:p>
        </w:tc>
      </w:tr>
    </w:tbl>
    <w:p w14:paraId="7C84AA47" w14:textId="6A909C92" w:rsidR="0074270C" w:rsidRPr="00A61393" w:rsidRDefault="0074270C" w:rsidP="008037D1">
      <w:pPr>
        <w:pStyle w:val="Tablefigurenote"/>
        <w:rPr>
          <w:rFonts w:eastAsia="Times"/>
        </w:rPr>
      </w:pPr>
      <w:r>
        <w:rPr>
          <w:b/>
          <w:bCs/>
        </w:rPr>
        <w:t>Note</w:t>
      </w:r>
      <w:r>
        <w:t>:</w:t>
      </w:r>
      <w:r w:rsidRPr="00A61393">
        <w:t xml:space="preserve"> two p</w:t>
      </w:r>
      <w:r w:rsidRPr="00A61393">
        <w:rPr>
          <w:rFonts w:eastAsia="Times"/>
        </w:rPr>
        <w:t>roject</w:t>
      </w:r>
      <w:r>
        <w:rPr>
          <w:rFonts w:eastAsia="Times"/>
        </w:rPr>
        <w:t>s</w:t>
      </w:r>
      <w:r w:rsidRPr="00A61393">
        <w:rPr>
          <w:rFonts w:eastAsia="Times"/>
        </w:rPr>
        <w:t xml:space="preserve"> </w:t>
      </w:r>
      <w:r w:rsidRPr="00A61393">
        <w:t xml:space="preserve">are currently </w:t>
      </w:r>
      <w:r w:rsidRPr="00A61393">
        <w:rPr>
          <w:rFonts w:eastAsia="Times"/>
        </w:rPr>
        <w:t>underway with HSV support to</w:t>
      </w:r>
      <w:r w:rsidRPr="00A61393">
        <w:t>:</w:t>
      </w:r>
      <w:r w:rsidRPr="00A61393">
        <w:rPr>
          <w:rFonts w:eastAsia="Times"/>
        </w:rPr>
        <w:t xml:space="preserve"> </w:t>
      </w:r>
    </w:p>
    <w:p w14:paraId="088555F7" w14:textId="55E754BD" w:rsidR="0074270C" w:rsidRPr="00A61393" w:rsidRDefault="0074270C" w:rsidP="0074270C">
      <w:pPr>
        <w:pStyle w:val="Tablebullet1"/>
      </w:pPr>
      <w:r w:rsidRPr="00A61393">
        <w:rPr>
          <w:rFonts w:eastAsia="Times"/>
        </w:rPr>
        <w:t xml:space="preserve">validate if </w:t>
      </w:r>
      <w:r w:rsidRPr="0074270C">
        <w:rPr>
          <w:rFonts w:eastAsia="Times"/>
        </w:rPr>
        <w:t>accurate</w:t>
      </w:r>
      <w:r w:rsidRPr="00A61393">
        <w:rPr>
          <w:rFonts w:eastAsia="Times"/>
        </w:rPr>
        <w:t xml:space="preserve"> data on nitrous oxide quantities can be obtained from supplier reporting and uploaded in bulk into </w:t>
      </w:r>
      <w:r>
        <w:rPr>
          <w:rFonts w:eastAsia="Times"/>
        </w:rPr>
        <w:t>EDMS</w:t>
      </w:r>
    </w:p>
    <w:p w14:paraId="774A4148" w14:textId="4C26077C" w:rsidR="00941E17" w:rsidRPr="0074270C" w:rsidRDefault="00985B31" w:rsidP="008037D1">
      <w:pPr>
        <w:pStyle w:val="Tablebullet1"/>
      </w:pPr>
      <w:r>
        <w:rPr>
          <w:rFonts w:eastAsia="Times"/>
        </w:rPr>
        <w:t xml:space="preserve">get and upload into EDMS </w:t>
      </w:r>
      <w:r w:rsidR="0074270C" w:rsidRPr="00A61393">
        <w:rPr>
          <w:rFonts w:eastAsia="Times"/>
        </w:rPr>
        <w:t xml:space="preserve">bulk data from </w:t>
      </w:r>
      <w:r w:rsidRPr="00A61393">
        <w:rPr>
          <w:rFonts w:eastAsia="Times"/>
        </w:rPr>
        <w:t xml:space="preserve">pharmacy management systems </w:t>
      </w:r>
      <w:r w:rsidR="0074270C" w:rsidRPr="00A61393">
        <w:rPr>
          <w:rFonts w:eastAsia="Times"/>
        </w:rPr>
        <w:t>about desflurane, isoflurane and sevoflurane purchases</w:t>
      </w:r>
      <w:r w:rsidR="0074270C" w:rsidRPr="00A61393">
        <w:t>.</w:t>
      </w:r>
    </w:p>
    <w:p w14:paraId="095F9684" w14:textId="6D370A51" w:rsidR="002E34DB" w:rsidRDefault="00941E17" w:rsidP="008037D1">
      <w:pPr>
        <w:pStyle w:val="Body"/>
      </w:pPr>
      <w:r>
        <w:br w:type="page"/>
      </w:r>
    </w:p>
    <w:p w14:paraId="7F032368" w14:textId="37A48368" w:rsidR="00FD538B" w:rsidRDefault="69AB0527" w:rsidP="008037D1">
      <w:pPr>
        <w:pStyle w:val="Heading1"/>
        <w:numPr>
          <w:ilvl w:val="0"/>
          <w:numId w:val="91"/>
        </w:numPr>
        <w:spacing w:before="0"/>
      </w:pPr>
      <w:bookmarkStart w:id="75" w:name="_Toc138239128"/>
      <w:r>
        <w:t>Support</w:t>
      </w:r>
      <w:bookmarkEnd w:id="75"/>
    </w:p>
    <w:p w14:paraId="1C4CD334" w14:textId="0DD702BD" w:rsidR="00F4155A" w:rsidRDefault="00D619E3" w:rsidP="001D7BDF">
      <w:pPr>
        <w:pStyle w:val="Heading2"/>
        <w:numPr>
          <w:ilvl w:val="1"/>
          <w:numId w:val="91"/>
        </w:numPr>
      </w:pPr>
      <w:bookmarkStart w:id="76" w:name="_Ref137573147"/>
      <w:bookmarkStart w:id="77" w:name="_Ref137573163"/>
      <w:bookmarkStart w:id="78" w:name="_Ref137573203"/>
      <w:bookmarkStart w:id="79" w:name="_Ref137573211"/>
      <w:bookmarkStart w:id="80" w:name="_Toc138239129"/>
      <w:r>
        <w:t>Useful resources</w:t>
      </w:r>
      <w:bookmarkEnd w:id="76"/>
      <w:bookmarkEnd w:id="77"/>
      <w:bookmarkEnd w:id="78"/>
      <w:bookmarkEnd w:id="79"/>
      <w:bookmarkEnd w:id="80"/>
    </w:p>
    <w:p w14:paraId="093B20AE" w14:textId="5E993397" w:rsidR="00185ECF" w:rsidRPr="00185ECF" w:rsidRDefault="00185ECF" w:rsidP="008037D1">
      <w:pPr>
        <w:pStyle w:val="Heading3"/>
      </w:pPr>
      <w:r>
        <w:t>FRD 24</w:t>
      </w:r>
    </w:p>
    <w:p w14:paraId="14AF307E" w14:textId="0E9D16F9" w:rsidR="005D0431" w:rsidRDefault="005D0431" w:rsidP="005D0431">
      <w:pPr>
        <w:pStyle w:val="Body"/>
        <w:rPr>
          <w:lang w:val="en-US"/>
        </w:rPr>
      </w:pPr>
      <w:r>
        <w:rPr>
          <w:lang w:val="en-US"/>
        </w:rPr>
        <w:t>Information and resources on</w:t>
      </w:r>
      <w:r w:rsidR="005B71AD">
        <w:rPr>
          <w:lang w:val="en-US"/>
        </w:rPr>
        <w:t xml:space="preserve"> FRD 24 </w:t>
      </w:r>
      <w:r>
        <w:rPr>
          <w:lang w:val="en-US"/>
        </w:rPr>
        <w:t>are available on</w:t>
      </w:r>
      <w:r w:rsidR="005B71AD">
        <w:rPr>
          <w:lang w:val="en-US"/>
        </w:rPr>
        <w:t xml:space="preserve"> </w:t>
      </w:r>
      <w:hyperlink r:id="rId21" w:history="1">
        <w:r>
          <w:rPr>
            <w:rStyle w:val="Hyperlink"/>
          </w:rPr>
          <w:t>DEECA's Government environmental reporting web page</w:t>
        </w:r>
      </w:hyperlink>
      <w:r w:rsidR="005B71AD">
        <w:rPr>
          <w:lang w:val="en-US"/>
        </w:rPr>
        <w:t xml:space="preserve"> &lt;</w:t>
      </w:r>
      <w:r w:rsidR="00DC1B4B" w:rsidRPr="001A5E87">
        <w:rPr>
          <w:lang w:val="en-US"/>
        </w:rPr>
        <w:t>https://www.climatechange.vic.gov.au/victorian-government-action-on-climate-</w:t>
      </w:r>
      <w:r w:rsidR="00C97E85" w:rsidRPr="00C97E85">
        <w:rPr>
          <w:lang w:val="en-US"/>
        </w:rPr>
        <w:t>change/government-environmental-reporting</w:t>
      </w:r>
      <w:r w:rsidR="005B71AD">
        <w:rPr>
          <w:lang w:val="en-US"/>
        </w:rPr>
        <w:t>&gt;</w:t>
      </w:r>
      <w:r w:rsidR="00C97E85">
        <w:rPr>
          <w:lang w:val="en-US"/>
        </w:rPr>
        <w:t>.</w:t>
      </w:r>
    </w:p>
    <w:p w14:paraId="6A725ABF" w14:textId="52E13BBB" w:rsidR="005E0418" w:rsidRDefault="005D0431" w:rsidP="008037D1">
      <w:pPr>
        <w:pStyle w:val="Body"/>
      </w:pPr>
      <w:r>
        <w:rPr>
          <w:lang w:val="en-US"/>
        </w:rPr>
        <w:t xml:space="preserve">The page </w:t>
      </w:r>
      <w:r w:rsidR="006E0721">
        <w:rPr>
          <w:lang w:val="en-US"/>
        </w:rPr>
        <w:t>include</w:t>
      </w:r>
      <w:r>
        <w:rPr>
          <w:lang w:val="en-US"/>
        </w:rPr>
        <w:t>s</w:t>
      </w:r>
      <w:r w:rsidR="00DE0B3A">
        <w:rPr>
          <w:lang w:val="en-US"/>
        </w:rPr>
        <w:t xml:space="preserve"> </w:t>
      </w:r>
      <w:r>
        <w:rPr>
          <w:lang w:val="en-US"/>
        </w:rPr>
        <w:t xml:space="preserve">links to </w:t>
      </w:r>
      <w:r w:rsidR="005E0418" w:rsidRPr="005E0418">
        <w:t xml:space="preserve">four key documents that </w:t>
      </w:r>
      <w:r>
        <w:t>explain</w:t>
      </w:r>
      <w:r w:rsidRPr="005E0418">
        <w:t xml:space="preserve"> </w:t>
      </w:r>
      <w:r w:rsidR="005E0418" w:rsidRPr="005E0418">
        <w:t>FRD 24 requirements</w:t>
      </w:r>
      <w:r w:rsidR="00DE0B3A">
        <w:t>:</w:t>
      </w:r>
    </w:p>
    <w:p w14:paraId="435D9822" w14:textId="6AC5F0A0" w:rsidR="00AB23F8" w:rsidRPr="00DE0B3A" w:rsidRDefault="00BA5C32" w:rsidP="008037D1">
      <w:pPr>
        <w:pStyle w:val="Bullet1"/>
      </w:pPr>
      <w:r w:rsidRPr="008037D1">
        <w:rPr>
          <w:i/>
          <w:iCs/>
        </w:rPr>
        <w:t>FRD 24</w:t>
      </w:r>
      <w:r w:rsidR="00185ECF">
        <w:rPr>
          <w:i/>
          <w:iCs/>
        </w:rPr>
        <w:t>:</w:t>
      </w:r>
      <w:r w:rsidRPr="008037D1">
        <w:rPr>
          <w:i/>
          <w:iCs/>
        </w:rPr>
        <w:t xml:space="preserve"> Reporting of environmental data by government entities</w:t>
      </w:r>
      <w:r w:rsidR="005D0431">
        <w:t xml:space="preserve"> –</w:t>
      </w:r>
      <w:r w:rsidRPr="00DE0B3A">
        <w:t xml:space="preserve"> </w:t>
      </w:r>
      <w:r w:rsidR="00DF4D45" w:rsidRPr="008037D1">
        <w:t>w</w:t>
      </w:r>
      <w:r w:rsidR="00BC05B4" w:rsidRPr="008037D1">
        <w:t>hat departments and public sector entities must disclose in their annual report</w:t>
      </w:r>
    </w:p>
    <w:p w14:paraId="607A664B" w14:textId="7977AA21" w:rsidR="00BC05B4" w:rsidRPr="00DE0B3A" w:rsidRDefault="001C3F3E" w:rsidP="008037D1">
      <w:pPr>
        <w:pStyle w:val="Bullet1"/>
      </w:pPr>
      <w:r w:rsidRPr="008037D1">
        <w:rPr>
          <w:i/>
          <w:iCs/>
        </w:rPr>
        <w:t>Guidance on environmental disclosures under FRD 24</w:t>
      </w:r>
      <w:r w:rsidRPr="008037D1">
        <w:t xml:space="preserve"> </w:t>
      </w:r>
      <w:r w:rsidR="005D0431">
        <w:t xml:space="preserve">– </w:t>
      </w:r>
      <w:r w:rsidR="00DF4D45" w:rsidRPr="008037D1">
        <w:t>h</w:t>
      </w:r>
      <w:r w:rsidR="00BC05B4" w:rsidRPr="008037D1">
        <w:t>ow to collect, collate and disclose environmental data to meet FRD 24 requirements</w:t>
      </w:r>
    </w:p>
    <w:p w14:paraId="5707F1FE" w14:textId="6F119CF3" w:rsidR="00BC05B4" w:rsidRPr="00DE0B3A" w:rsidRDefault="00455FDA" w:rsidP="008037D1">
      <w:pPr>
        <w:pStyle w:val="Bullet1"/>
      </w:pPr>
      <w:r w:rsidRPr="008037D1">
        <w:rPr>
          <w:i/>
          <w:iCs/>
        </w:rPr>
        <w:t>Guidance on the application of reporting tiers under FRD 24</w:t>
      </w:r>
      <w:r w:rsidRPr="008037D1">
        <w:t xml:space="preserve"> </w:t>
      </w:r>
      <w:r w:rsidR="005D0431">
        <w:t xml:space="preserve">– </w:t>
      </w:r>
      <w:r w:rsidR="00DF4D45" w:rsidRPr="00DE0B3A">
        <w:t>w</w:t>
      </w:r>
      <w:r w:rsidR="00BC05B4" w:rsidRPr="00DE0B3A">
        <w:t xml:space="preserve">hat tier organisations </w:t>
      </w:r>
      <w:r w:rsidR="005D0431">
        <w:t>are in</w:t>
      </w:r>
    </w:p>
    <w:p w14:paraId="4A7BFD88" w14:textId="0CFDA0EE" w:rsidR="005E0418" w:rsidRPr="00DE0B3A" w:rsidRDefault="00CA7B52" w:rsidP="008037D1">
      <w:pPr>
        <w:pStyle w:val="Bullet1"/>
      </w:pPr>
      <w:r w:rsidRPr="008037D1">
        <w:rPr>
          <w:i/>
          <w:iCs/>
        </w:rPr>
        <w:t xml:space="preserve">2022-23 </w:t>
      </w:r>
      <w:r w:rsidR="005D0431" w:rsidRPr="008037D1">
        <w:rPr>
          <w:i/>
          <w:iCs/>
        </w:rPr>
        <w:t xml:space="preserve">model report </w:t>
      </w:r>
      <w:r w:rsidRPr="008037D1">
        <w:rPr>
          <w:i/>
          <w:iCs/>
        </w:rPr>
        <w:t xml:space="preserve">for Victorian Government </w:t>
      </w:r>
      <w:r w:rsidR="005D0431" w:rsidRPr="008037D1">
        <w:rPr>
          <w:i/>
          <w:iCs/>
        </w:rPr>
        <w:t>departments</w:t>
      </w:r>
      <w:r w:rsidR="005D0431" w:rsidRPr="008037D1">
        <w:t xml:space="preserve"> </w:t>
      </w:r>
      <w:r w:rsidR="005D0431">
        <w:t xml:space="preserve">– </w:t>
      </w:r>
      <w:r w:rsidR="00DF4D45" w:rsidRPr="008037D1">
        <w:t>g</w:t>
      </w:r>
      <w:r w:rsidR="00BC05B4" w:rsidRPr="008037D1">
        <w:t xml:space="preserve">uidance </w:t>
      </w:r>
      <w:r w:rsidR="005D0431">
        <w:t>on FRD 24 reporting, including</w:t>
      </w:r>
      <w:r w:rsidR="00BC05B4" w:rsidRPr="008037D1">
        <w:t xml:space="preserve"> </w:t>
      </w:r>
      <w:r w:rsidR="005D0431">
        <w:t xml:space="preserve">example </w:t>
      </w:r>
      <w:r w:rsidR="00BC05B4" w:rsidRPr="008037D1">
        <w:t>disclosures</w:t>
      </w:r>
      <w:r w:rsidR="005D0431">
        <w:t>.</w:t>
      </w:r>
    </w:p>
    <w:p w14:paraId="0ED1EC35" w14:textId="79138534" w:rsidR="004F646C" w:rsidRDefault="004F646C">
      <w:pPr>
        <w:pStyle w:val="Heading3"/>
      </w:pPr>
      <w:r>
        <w:t>EDMS</w:t>
      </w:r>
    </w:p>
    <w:p w14:paraId="346DDAC1" w14:textId="6DFA6004" w:rsidR="00AF23C4" w:rsidRPr="00AF23C4" w:rsidRDefault="00AF23C4" w:rsidP="008037D1">
      <w:pPr>
        <w:pStyle w:val="Body"/>
      </w:pPr>
      <w:r>
        <w:t>The department’s environmental data management tools:</w:t>
      </w:r>
    </w:p>
    <w:p w14:paraId="0E1F2FEF" w14:textId="2E55E036" w:rsidR="00ED32C8" w:rsidRDefault="00AF23C4">
      <w:pPr>
        <w:pStyle w:val="Bullet1"/>
      </w:pPr>
      <w:r>
        <w:t xml:space="preserve">Available on </w:t>
      </w:r>
      <w:hyperlink r:id="rId22" w:history="1">
        <w:r>
          <w:rPr>
            <w:rStyle w:val="Hyperlink"/>
          </w:rPr>
          <w:t>department's Environmental data management tools web page</w:t>
        </w:r>
      </w:hyperlink>
      <w:r w:rsidR="00ED32C8">
        <w:t xml:space="preserve"> &lt;</w:t>
      </w:r>
      <w:r w:rsidR="00ED32C8" w:rsidRPr="00BB56CB">
        <w:t>https://www.health.vic.gov.au/planning-infrastructure/environmental-data-management-tools</w:t>
      </w:r>
      <w:r w:rsidR="00ED32C8">
        <w:t>&gt;.</w:t>
      </w:r>
    </w:p>
    <w:p w14:paraId="656CA794" w14:textId="3AD6C2DE" w:rsidR="00AF23C4" w:rsidRDefault="00AF23C4" w:rsidP="008037D1">
      <w:pPr>
        <w:pStyle w:val="Bodyafterbullets"/>
      </w:pPr>
      <w:r>
        <w:t>EDMS:</w:t>
      </w:r>
    </w:p>
    <w:p w14:paraId="52A1E599" w14:textId="66A8D035" w:rsidR="00635F4B" w:rsidRDefault="00A84C51">
      <w:pPr>
        <w:pStyle w:val="Bullet1"/>
      </w:pPr>
      <w:hyperlink r:id="rId23" w:history="1">
        <w:r w:rsidR="00AF23C4">
          <w:rPr>
            <w:rStyle w:val="Hyperlink"/>
          </w:rPr>
          <w:t>EDMS login page</w:t>
        </w:r>
      </w:hyperlink>
      <w:r w:rsidR="007D6F23">
        <w:t xml:space="preserve"> </w:t>
      </w:r>
      <w:r w:rsidR="00F776B0">
        <w:t>&lt;</w:t>
      </w:r>
      <w:r w:rsidR="00F776B0" w:rsidRPr="00F776B0">
        <w:t>https://dse.edensuite.com.au/cas/login?service=https</w:t>
      </w:r>
      <w:r w:rsidR="00F776B0">
        <w:t>://</w:t>
      </w:r>
      <w:r w:rsidR="00F776B0" w:rsidRPr="00F776B0">
        <w:t>dse.edensuite.com.au</w:t>
      </w:r>
      <w:r w:rsidR="00F776B0">
        <w:t>/</w:t>
      </w:r>
      <w:r w:rsidR="00F776B0" w:rsidRPr="00F776B0">
        <w:t>CarbonInsight</w:t>
      </w:r>
      <w:r w:rsidR="00F776B0">
        <w:t>/</w:t>
      </w:r>
      <w:r w:rsidR="00F776B0" w:rsidRPr="00F776B0">
        <w:t>j_spring_cas_security_check</w:t>
      </w:r>
      <w:r w:rsidR="00F776B0">
        <w:t>&gt;</w:t>
      </w:r>
      <w:r w:rsidR="00D611E2">
        <w:t>.</w:t>
      </w:r>
    </w:p>
    <w:p w14:paraId="172B1E3D" w14:textId="6F4DDAB7" w:rsidR="00AF23C4" w:rsidRDefault="00AF23C4" w:rsidP="008037D1">
      <w:pPr>
        <w:pStyle w:val="Bodyafterbullets"/>
      </w:pPr>
      <w:r>
        <w:t>E</w:t>
      </w:r>
      <w:r w:rsidR="00096C2B">
        <w:t>den Suite</w:t>
      </w:r>
      <w:r>
        <w:t xml:space="preserve"> training</w:t>
      </w:r>
      <w:r w:rsidR="00096C2B">
        <w:t xml:space="preserve"> </w:t>
      </w:r>
      <w:hyperlink r:id="rId24" w:history="1">
        <w:r w:rsidR="00096C2B" w:rsidRPr="00E30354">
          <w:rPr>
            <w:rStyle w:val="Hyperlink"/>
          </w:rPr>
          <w:t>homepage</w:t>
        </w:r>
      </w:hyperlink>
      <w:r w:rsidR="00E30354">
        <w:t xml:space="preserve"> &lt;</w:t>
      </w:r>
      <w:r w:rsidR="00E30354" w:rsidRPr="008037D1">
        <w:t>http://training.edensuite.com.au</w:t>
      </w:r>
      <w:r w:rsidR="00E30354">
        <w:t>&gt;</w:t>
      </w:r>
      <w:r w:rsidR="00B03574">
        <w:t>,</w:t>
      </w:r>
      <w:r w:rsidR="00096C2B">
        <w:t xml:space="preserve"> includes</w:t>
      </w:r>
      <w:r>
        <w:t>:</w:t>
      </w:r>
    </w:p>
    <w:p w14:paraId="131DEE10" w14:textId="7BEE267C" w:rsidR="00D611E2" w:rsidRDefault="00096C2B" w:rsidP="008037D1">
      <w:pPr>
        <w:pStyle w:val="Bullet1"/>
      </w:pPr>
      <w:r>
        <w:t>Eden Suite g</w:t>
      </w:r>
      <w:r w:rsidRPr="008037D1">
        <w:t>uide</w:t>
      </w:r>
      <w:r w:rsidR="00D611E2">
        <w:t xml:space="preserve"> </w:t>
      </w:r>
      <w:r>
        <w:t>– extensive guidance covering most of what can be done on the EDMS.</w:t>
      </w:r>
    </w:p>
    <w:p w14:paraId="4F5F5A23" w14:textId="731A3BFB" w:rsidR="0022779A" w:rsidRPr="0022779A" w:rsidRDefault="00096C2B" w:rsidP="008037D1">
      <w:pPr>
        <w:pStyle w:val="Bullet1"/>
      </w:pPr>
      <w:r w:rsidRPr="008037D1">
        <w:t xml:space="preserve">Navigation </w:t>
      </w:r>
      <w:r>
        <w:t>v</w:t>
      </w:r>
      <w:r w:rsidRPr="008037D1">
        <w:t>ideo</w:t>
      </w:r>
      <w:r w:rsidR="00566D7F">
        <w:t xml:space="preserve"> </w:t>
      </w:r>
      <w:r>
        <w:t xml:space="preserve">– </w:t>
      </w:r>
      <w:r w:rsidRPr="0022779A">
        <w:t>a quick overview of how to get around Eden Suite and the key menu options</w:t>
      </w:r>
      <w:r>
        <w:t>.</w:t>
      </w:r>
    </w:p>
    <w:p w14:paraId="1811D0DA" w14:textId="4036E1D3" w:rsidR="0022779A" w:rsidRPr="0022779A" w:rsidRDefault="00096C2B" w:rsidP="008037D1">
      <w:pPr>
        <w:pStyle w:val="Bullet1"/>
      </w:pPr>
      <w:r w:rsidRPr="008037D1">
        <w:t xml:space="preserve">Key </w:t>
      </w:r>
      <w:r>
        <w:t>c</w:t>
      </w:r>
      <w:r w:rsidRPr="008037D1">
        <w:t xml:space="preserve">oncepts and </w:t>
      </w:r>
      <w:r>
        <w:t>t</w:t>
      </w:r>
      <w:r w:rsidRPr="008037D1">
        <w:t>erms Video</w:t>
      </w:r>
      <w:r w:rsidR="00566D7F">
        <w:t xml:space="preserve"> </w:t>
      </w:r>
      <w:r>
        <w:t xml:space="preserve">– </w:t>
      </w:r>
      <w:r w:rsidR="0022779A" w:rsidRPr="0022779A">
        <w:t>covers measurement devices, assets, organisations and hierarchies.</w:t>
      </w:r>
    </w:p>
    <w:p w14:paraId="7E85F064" w14:textId="732AF99A" w:rsidR="0022779A" w:rsidRPr="0022779A" w:rsidRDefault="00096C2B" w:rsidP="008037D1">
      <w:pPr>
        <w:pStyle w:val="Bullet1"/>
      </w:pPr>
      <w:r w:rsidRPr="008037D1">
        <w:t xml:space="preserve">Searching, </w:t>
      </w:r>
      <w:r w:rsidRPr="00096C2B">
        <w:t>asset profile, edit asset</w:t>
      </w:r>
      <w:r>
        <w:t xml:space="preserve"> video – </w:t>
      </w:r>
      <w:r w:rsidR="0022779A" w:rsidRPr="0022779A">
        <w:t>covers the global search function, asset profile</w:t>
      </w:r>
      <w:r w:rsidR="00412E9A">
        <w:t xml:space="preserve"> and</w:t>
      </w:r>
      <w:r w:rsidR="0022779A" w:rsidRPr="0022779A">
        <w:t xml:space="preserve"> editing an asset</w:t>
      </w:r>
      <w:r w:rsidR="00412E9A">
        <w:t>.</w:t>
      </w:r>
    </w:p>
    <w:p w14:paraId="73642B2E" w14:textId="0A0A2D80" w:rsidR="0022779A" w:rsidRPr="0022779A" w:rsidRDefault="00096C2B" w:rsidP="008037D1">
      <w:pPr>
        <w:pStyle w:val="Bullet1"/>
      </w:pPr>
      <w:r w:rsidRPr="008037D1">
        <w:t xml:space="preserve">Find and </w:t>
      </w:r>
      <w:r>
        <w:t>a</w:t>
      </w:r>
      <w:r w:rsidRPr="008037D1">
        <w:t>dd data</w:t>
      </w:r>
      <w:r w:rsidR="00FC2762">
        <w:t xml:space="preserve"> </w:t>
      </w:r>
      <w:r>
        <w:t xml:space="preserve">video – </w:t>
      </w:r>
      <w:r w:rsidR="0022779A" w:rsidRPr="0022779A">
        <w:t>shows how to find and add data</w:t>
      </w:r>
      <w:r w:rsidR="0022779A">
        <w:t>.</w:t>
      </w:r>
    </w:p>
    <w:p w14:paraId="3C14FB68" w14:textId="096C4CB3" w:rsidR="00A72010" w:rsidRDefault="00096C2B" w:rsidP="00096C2B">
      <w:pPr>
        <w:pStyle w:val="Bullet1"/>
      </w:pPr>
      <w:r w:rsidRPr="008037D1">
        <w:t xml:space="preserve">Add </w:t>
      </w:r>
      <w:r w:rsidRPr="00096C2B">
        <w:t>new measurement device</w:t>
      </w:r>
      <w:r>
        <w:t xml:space="preserve"> </w:t>
      </w:r>
      <w:r w:rsidR="0022779A" w:rsidRPr="0022779A">
        <w:t xml:space="preserve">video </w:t>
      </w:r>
      <w:r>
        <w:t xml:space="preserve">– </w:t>
      </w:r>
      <w:r w:rsidR="0022779A" w:rsidRPr="0022779A">
        <w:t xml:space="preserve">how to add a new measurement device to an </w:t>
      </w:r>
      <w:r w:rsidR="0022779A">
        <w:t>a</w:t>
      </w:r>
      <w:r w:rsidR="0022779A" w:rsidRPr="0022779A">
        <w:t>sset</w:t>
      </w:r>
      <w:r w:rsidR="0022779A">
        <w:t>.</w:t>
      </w:r>
    </w:p>
    <w:p w14:paraId="72F68347" w14:textId="6DBF65B3" w:rsidR="00096C2B" w:rsidRDefault="00096C2B" w:rsidP="008037D1">
      <w:pPr>
        <w:pStyle w:val="Bodyafterbullets"/>
      </w:pPr>
      <w:r>
        <w:t>Solar performance report:</w:t>
      </w:r>
    </w:p>
    <w:p w14:paraId="1D3F32DF" w14:textId="72B3CD64" w:rsidR="00784572" w:rsidRDefault="00A84C51">
      <w:pPr>
        <w:pStyle w:val="Bullet1"/>
      </w:pPr>
      <w:hyperlink r:id="rId25" w:history="1">
        <w:r w:rsidR="00784572" w:rsidRPr="00784572">
          <w:rPr>
            <w:rStyle w:val="Hyperlink"/>
          </w:rPr>
          <w:t>Eden Suite’s Solar report web page</w:t>
        </w:r>
      </w:hyperlink>
      <w:r w:rsidR="00784572">
        <w:t xml:space="preserve"> &lt;</w:t>
      </w:r>
      <w:r w:rsidR="00784572" w:rsidRPr="00784572">
        <w:t>http://training.edensuite.com.au/?page_id=2162</w:t>
      </w:r>
      <w:r w:rsidR="00784572">
        <w:t>&gt;</w:t>
      </w:r>
    </w:p>
    <w:p w14:paraId="561C0D22" w14:textId="7FA027EE" w:rsidR="00784572" w:rsidRDefault="005B1A4E">
      <w:pPr>
        <w:pStyle w:val="Bullet1"/>
      </w:pPr>
      <w:r>
        <w:t>I</w:t>
      </w:r>
      <w:r w:rsidRPr="005B1A4E">
        <w:t>n</w:t>
      </w:r>
      <w:r w:rsidR="00784572">
        <w:t>cludes in</w:t>
      </w:r>
      <w:r w:rsidRPr="005B1A4E">
        <w:t xml:space="preserve">structions </w:t>
      </w:r>
      <w:r w:rsidR="00784572">
        <w:t xml:space="preserve">on how </w:t>
      </w:r>
      <w:r w:rsidRPr="005B1A4E">
        <w:t xml:space="preserve">to run </w:t>
      </w:r>
      <w:r w:rsidR="00784572">
        <w:t xml:space="preserve">a </w:t>
      </w:r>
      <w:r w:rsidR="00784572" w:rsidRPr="008037D1">
        <w:t>solar performance report</w:t>
      </w:r>
      <w:r w:rsidR="00784572">
        <w:t>.</w:t>
      </w:r>
    </w:p>
    <w:p w14:paraId="28637388" w14:textId="3E28D404" w:rsidR="008C6C77" w:rsidRDefault="00242446">
      <w:pPr>
        <w:pStyle w:val="Bullet1"/>
      </w:pPr>
      <w:r w:rsidRPr="00242446">
        <w:t>Only for health services with Eden Suite connected solar.</w:t>
      </w:r>
    </w:p>
    <w:p w14:paraId="67CF9C7E" w14:textId="0B6E97A1" w:rsidR="00D619E3" w:rsidRDefault="00D619E3" w:rsidP="001D7BDF">
      <w:pPr>
        <w:pStyle w:val="Heading2"/>
        <w:numPr>
          <w:ilvl w:val="1"/>
          <w:numId w:val="91"/>
        </w:numPr>
      </w:pPr>
      <w:bookmarkStart w:id="81" w:name="_Toc138239130"/>
      <w:r>
        <w:t>Contacts</w:t>
      </w:r>
      <w:bookmarkEnd w:id="81"/>
    </w:p>
    <w:p w14:paraId="296580C2" w14:textId="57840F66" w:rsidR="008B41E8" w:rsidRPr="008B41E8" w:rsidRDefault="008B41E8" w:rsidP="008037D1">
      <w:pPr>
        <w:pStyle w:val="Heading3"/>
      </w:pPr>
      <w:r>
        <w:t>Department contacts</w:t>
      </w:r>
    </w:p>
    <w:p w14:paraId="45666389" w14:textId="443744B4" w:rsidR="008B41E8" w:rsidRDefault="008B41E8" w:rsidP="008B41E8">
      <w:pPr>
        <w:pStyle w:val="Body"/>
      </w:pPr>
      <w:r>
        <w:t>The d</w:t>
      </w:r>
      <w:r w:rsidRPr="00B362F5">
        <w:t>epartment</w:t>
      </w:r>
      <w:r w:rsidR="00B362F5" w:rsidRPr="00B362F5">
        <w:t>’s</w:t>
      </w:r>
      <w:r>
        <w:t xml:space="preserve"> Climate Change and Environment team</w:t>
      </w:r>
      <w:r w:rsidR="002F13AD">
        <w:t>:</w:t>
      </w:r>
    </w:p>
    <w:p w14:paraId="4ED5E4A2" w14:textId="0027495E" w:rsidR="008B41E8" w:rsidRDefault="008B41E8" w:rsidP="008B41E8">
      <w:pPr>
        <w:pStyle w:val="Bullet1"/>
      </w:pPr>
      <w:r>
        <w:t>F</w:t>
      </w:r>
      <w:r w:rsidR="001B049C">
        <w:t xml:space="preserve">or </w:t>
      </w:r>
      <w:r w:rsidR="00B362F5" w:rsidRPr="00B362F5">
        <w:t>specific FRD 24 reporting</w:t>
      </w:r>
      <w:r>
        <w:noBreakHyphen/>
      </w:r>
      <w:r w:rsidR="00B362F5" w:rsidRPr="00B362F5">
        <w:t>related questions</w:t>
      </w:r>
    </w:p>
    <w:p w14:paraId="544C4FD0" w14:textId="7E364E79" w:rsidR="00B362F5" w:rsidRDefault="008B41E8" w:rsidP="008037D1">
      <w:pPr>
        <w:pStyle w:val="Bullet1"/>
      </w:pPr>
      <w:r>
        <w:t xml:space="preserve">Email </w:t>
      </w:r>
      <w:r w:rsidRPr="008037D1">
        <w:rPr>
          <w:b/>
          <w:bCs/>
          <w:lang w:val="en-US"/>
        </w:rPr>
        <w:t>sustainability@health.vic.gov.au</w:t>
      </w:r>
      <w:r>
        <w:t>.</w:t>
      </w:r>
    </w:p>
    <w:p w14:paraId="5CD95433" w14:textId="3C74102E" w:rsidR="008B41E8" w:rsidRDefault="008B41E8" w:rsidP="008037D1">
      <w:pPr>
        <w:pStyle w:val="Heading3"/>
      </w:pPr>
      <w:r>
        <w:t>Other government contacts</w:t>
      </w:r>
    </w:p>
    <w:p w14:paraId="15B2F7E9" w14:textId="51BFE697" w:rsidR="008B41E8" w:rsidRDefault="001D785F" w:rsidP="008037D1">
      <w:pPr>
        <w:pStyle w:val="Body"/>
      </w:pPr>
      <w:r w:rsidRPr="001D785F">
        <w:t>DEECA’s Government Emissions Reduction team</w:t>
      </w:r>
      <w:r w:rsidR="008B41E8">
        <w:t>:</w:t>
      </w:r>
    </w:p>
    <w:p w14:paraId="19910D36" w14:textId="38473D46" w:rsidR="008B41E8" w:rsidRDefault="008B41E8">
      <w:pPr>
        <w:pStyle w:val="Bullet1"/>
      </w:pPr>
      <w:r>
        <w:t>F</w:t>
      </w:r>
      <w:r w:rsidR="001D785F" w:rsidRPr="001D785F">
        <w:t xml:space="preserve">or general questions </w:t>
      </w:r>
      <w:r>
        <w:t xml:space="preserve">about </w:t>
      </w:r>
      <w:r w:rsidR="001D785F" w:rsidRPr="001D785F">
        <w:t>FRD 24 requirements for government entities</w:t>
      </w:r>
    </w:p>
    <w:p w14:paraId="70D7DD57" w14:textId="79F0EEEC" w:rsidR="00DB73F4" w:rsidRDefault="008B41E8" w:rsidP="008037D1">
      <w:pPr>
        <w:pStyle w:val="Bullet1"/>
      </w:pPr>
      <w:r>
        <w:t xml:space="preserve">Email </w:t>
      </w:r>
      <w:r w:rsidRPr="008037D1">
        <w:rPr>
          <w:b/>
          <w:bCs/>
        </w:rPr>
        <w:t>environmental.reporting@delwp.vic.gov.au</w:t>
      </w:r>
      <w:r>
        <w:t>.</w:t>
      </w:r>
    </w:p>
    <w:p w14:paraId="62734D55" w14:textId="77777777" w:rsidR="008B41E8" w:rsidRDefault="008B41E8" w:rsidP="008B41E8">
      <w:pPr>
        <w:pStyle w:val="Heading3"/>
      </w:pPr>
      <w:r>
        <w:t>EDMS contacts</w:t>
      </w:r>
    </w:p>
    <w:p w14:paraId="7C6A9E7A" w14:textId="77777777" w:rsidR="008B41E8" w:rsidRDefault="008B41E8" w:rsidP="008B41E8">
      <w:pPr>
        <w:pStyle w:val="Body"/>
        <w:rPr>
          <w:lang w:val="en-US"/>
        </w:rPr>
      </w:pPr>
      <w:r>
        <w:rPr>
          <w:lang w:val="en-US"/>
        </w:rPr>
        <w:t>The department:</w:t>
      </w:r>
    </w:p>
    <w:p w14:paraId="214E9E0A" w14:textId="46060C3D" w:rsidR="008B41E8" w:rsidRPr="00246EA0" w:rsidRDefault="008B41E8" w:rsidP="008B41E8">
      <w:pPr>
        <w:pStyle w:val="Bullet1"/>
      </w:pPr>
      <w:r>
        <w:rPr>
          <w:lang w:val="en-US"/>
        </w:rPr>
        <w:t>I</w:t>
      </w:r>
      <w:r w:rsidRPr="005873BA">
        <w:rPr>
          <w:lang w:val="en-US"/>
        </w:rPr>
        <w:t xml:space="preserve">f you are not currently an EDMS user and want access </w:t>
      </w:r>
    </w:p>
    <w:p w14:paraId="6011B8E0" w14:textId="5B844726" w:rsidR="008B41E8" w:rsidRPr="00246EA0" w:rsidRDefault="008B41E8" w:rsidP="008B41E8">
      <w:pPr>
        <w:pStyle w:val="Bullet1"/>
      </w:pPr>
      <w:r w:rsidRPr="005873BA">
        <w:rPr>
          <w:lang w:val="en-US"/>
        </w:rPr>
        <w:t>EDMS</w:t>
      </w:r>
      <w:r>
        <w:rPr>
          <w:lang w:val="en-US"/>
        </w:rPr>
        <w:t>-</w:t>
      </w:r>
      <w:r w:rsidRPr="005873BA">
        <w:rPr>
          <w:lang w:val="en-US"/>
        </w:rPr>
        <w:t>related questions</w:t>
      </w:r>
    </w:p>
    <w:p w14:paraId="22EE6203" w14:textId="77777777" w:rsidR="008B41E8" w:rsidRPr="00587805" w:rsidRDefault="008B41E8" w:rsidP="008B41E8">
      <w:pPr>
        <w:pStyle w:val="Bullet1"/>
      </w:pPr>
      <w:r>
        <w:rPr>
          <w:lang w:val="en-US"/>
        </w:rPr>
        <w:t xml:space="preserve">Email </w:t>
      </w:r>
      <w:r w:rsidRPr="00246EA0">
        <w:rPr>
          <w:b/>
          <w:bCs/>
          <w:lang w:val="en-US"/>
        </w:rPr>
        <w:t>edms@health.vic.gov.au</w:t>
      </w:r>
      <w:r>
        <w:rPr>
          <w:lang w:val="en-US"/>
        </w:rPr>
        <w:t>.</w:t>
      </w:r>
    </w:p>
    <w:p w14:paraId="2E32D180" w14:textId="77777777" w:rsidR="008B41E8" w:rsidRDefault="008B41E8" w:rsidP="008B41E8">
      <w:pPr>
        <w:pStyle w:val="Bodyafterbullets"/>
      </w:pPr>
      <w:r w:rsidRPr="00E53F81">
        <w:t>Eden Suite</w:t>
      </w:r>
      <w:r>
        <w:t>:</w:t>
      </w:r>
    </w:p>
    <w:p w14:paraId="6E9BEF1E" w14:textId="77777777" w:rsidR="008B41E8" w:rsidRDefault="008B41E8" w:rsidP="008B41E8">
      <w:pPr>
        <w:pStyle w:val="Bullet1"/>
      </w:pPr>
      <w:r>
        <w:t>EDMS technical</w:t>
      </w:r>
      <w:r w:rsidRPr="00E53F81">
        <w:t xml:space="preserve"> support</w:t>
      </w:r>
    </w:p>
    <w:p w14:paraId="6F314702" w14:textId="77777777" w:rsidR="008B41E8" w:rsidRDefault="008B41E8" w:rsidP="008B41E8">
      <w:pPr>
        <w:pStyle w:val="Bullet1"/>
      </w:pPr>
      <w:r>
        <w:t xml:space="preserve">Email </w:t>
      </w:r>
      <w:r w:rsidRPr="00246EA0">
        <w:rPr>
          <w:b/>
          <w:bCs/>
        </w:rPr>
        <w:t>support@edensuite.com.au</w:t>
      </w:r>
      <w:r w:rsidRPr="004509E4">
        <w:t>.</w:t>
      </w:r>
    </w:p>
    <w:p w14:paraId="7757C57E" w14:textId="4E4E14F1" w:rsidR="00941E17" w:rsidRDefault="00941E17" w:rsidP="008037D1">
      <w:pPr>
        <w:pStyle w:val="Body"/>
      </w:pPr>
      <w:r>
        <w:br w:type="page"/>
      </w:r>
    </w:p>
    <w:p w14:paraId="42F806B9" w14:textId="48DA1156" w:rsidR="00F00E22" w:rsidRDefault="00F00E22" w:rsidP="00F00E22">
      <w:pPr>
        <w:pStyle w:val="Heading1"/>
      </w:pPr>
      <w:bookmarkStart w:id="82" w:name="_Ref137572638"/>
      <w:bookmarkStart w:id="83" w:name="_Toc138239131"/>
      <w:r w:rsidRPr="00F00E22">
        <w:t xml:space="preserve">Appendix </w:t>
      </w:r>
      <w:r w:rsidR="00BD09C7">
        <w:t>A</w:t>
      </w:r>
      <w:r w:rsidRPr="00F00E22">
        <w:t>: Scope of emissions</w:t>
      </w:r>
      <w:bookmarkEnd w:id="82"/>
      <w:bookmarkEnd w:id="83"/>
    </w:p>
    <w:p w14:paraId="55AB6599" w14:textId="6191B63E" w:rsidR="00BF6CB5" w:rsidRPr="00BF11C7" w:rsidRDefault="00BF11C7" w:rsidP="008037D1">
      <w:pPr>
        <w:pStyle w:val="Body"/>
      </w:pPr>
      <w:r w:rsidRPr="00BF11C7">
        <w:t xml:space="preserve">See the </w:t>
      </w:r>
      <w:hyperlink r:id="rId26" w:history="1">
        <w:r w:rsidRPr="00CB4965">
          <w:rPr>
            <w:rStyle w:val="Hyperlink"/>
          </w:rPr>
          <w:t>GHG Protocol website</w:t>
        </w:r>
      </w:hyperlink>
      <w:r w:rsidRPr="00BF11C7">
        <w:t xml:space="preserve"> &lt;www.ghgprotocol.org&gt; for detailed explanations</w:t>
      </w:r>
      <w:r w:rsidR="007E3B60">
        <w:t xml:space="preserve"> of each scope</w:t>
      </w:r>
      <w:r w:rsidRPr="00BF11C7">
        <w:t>.</w:t>
      </w:r>
    </w:p>
    <w:p w14:paraId="67638D14" w14:textId="2E095F36" w:rsidR="00470604" w:rsidRPr="00BF6CB5" w:rsidRDefault="00470604" w:rsidP="008037D1">
      <w:pPr>
        <w:pStyle w:val="Heading2notinTOC"/>
      </w:pPr>
      <w:r w:rsidRPr="00BF6CB5">
        <w:t>Scope 1: direct emissions</w:t>
      </w:r>
    </w:p>
    <w:p w14:paraId="27FC7BF0" w14:textId="77777777" w:rsidR="006772CA" w:rsidRDefault="00470604" w:rsidP="001D785F">
      <w:pPr>
        <w:pStyle w:val="Body"/>
      </w:pPr>
      <w:r w:rsidRPr="00BF6CB5">
        <w:t>Emissions related to sources owned or controlled by an organisation.</w:t>
      </w:r>
    </w:p>
    <w:p w14:paraId="23B67188" w14:textId="389669AB" w:rsidR="006772CA" w:rsidRDefault="00470604" w:rsidP="001D785F">
      <w:pPr>
        <w:pStyle w:val="Body"/>
      </w:pPr>
      <w:r w:rsidRPr="00BF6CB5">
        <w:t>Examples include</w:t>
      </w:r>
      <w:r w:rsidR="006772CA">
        <w:t>:</w:t>
      </w:r>
    </w:p>
    <w:p w14:paraId="136A68F0" w14:textId="7C9FCD7A" w:rsidR="006772CA" w:rsidRDefault="00470604" w:rsidP="006772CA">
      <w:pPr>
        <w:pStyle w:val="Bullet1"/>
      </w:pPr>
      <w:r w:rsidRPr="00BF6CB5">
        <w:t>emissions as a result of combustion in natural gas fired boilers</w:t>
      </w:r>
    </w:p>
    <w:p w14:paraId="359AEA1B" w14:textId="199ACCC4" w:rsidR="006772CA" w:rsidRDefault="006772CA" w:rsidP="006772CA">
      <w:pPr>
        <w:pStyle w:val="Bullet1"/>
      </w:pPr>
      <w:r>
        <w:t xml:space="preserve">emissions due to </w:t>
      </w:r>
      <w:r w:rsidR="00470604" w:rsidRPr="00BF6CB5">
        <w:t>combustion from vehicles owned</w:t>
      </w:r>
      <w:r w:rsidR="00141702">
        <w:t xml:space="preserve"> or leased</w:t>
      </w:r>
      <w:r w:rsidR="00470604" w:rsidRPr="00BF6CB5">
        <w:t xml:space="preserve"> by the health services</w:t>
      </w:r>
    </w:p>
    <w:p w14:paraId="357A2EA4" w14:textId="63D31B85" w:rsidR="001D785F" w:rsidRPr="00BF6CB5" w:rsidRDefault="00470604" w:rsidP="008037D1">
      <w:pPr>
        <w:pStyle w:val="Bullet1"/>
      </w:pPr>
      <w:r w:rsidRPr="00BF6CB5">
        <w:t>fugitive emissions related to</w:t>
      </w:r>
      <w:r w:rsidR="003A5C85">
        <w:t xml:space="preserve"> refrigerants and</w:t>
      </w:r>
      <w:r w:rsidRPr="00BF6CB5">
        <w:t xml:space="preserve"> medical gases </w:t>
      </w:r>
      <w:r w:rsidR="006772CA">
        <w:t>(</w:t>
      </w:r>
      <w:r w:rsidRPr="00BF6CB5">
        <w:t>such as nitrous oxide</w:t>
      </w:r>
      <w:r w:rsidR="006772CA">
        <w:t>)</w:t>
      </w:r>
      <w:r w:rsidR="003A5C85">
        <w:t>.</w:t>
      </w:r>
    </w:p>
    <w:p w14:paraId="2F19849F" w14:textId="77777777" w:rsidR="00470604" w:rsidRPr="00BF6CB5" w:rsidRDefault="00470604" w:rsidP="008037D1">
      <w:pPr>
        <w:pStyle w:val="Heading2notinTOC"/>
      </w:pPr>
      <w:r w:rsidRPr="00BF6CB5">
        <w:t xml:space="preserve">Scope 2: energy indirect </w:t>
      </w:r>
      <w:r w:rsidRPr="00B4134B">
        <w:t>emissions</w:t>
      </w:r>
    </w:p>
    <w:p w14:paraId="384500CD" w14:textId="77777777" w:rsidR="006772CA" w:rsidRDefault="00470604">
      <w:pPr>
        <w:pStyle w:val="Body"/>
      </w:pPr>
      <w:r w:rsidRPr="00D31340">
        <w:t>Emissions related to consumed energy supplied by a third party, for example</w:t>
      </w:r>
      <w:r w:rsidR="006772CA">
        <w:t>:</w:t>
      </w:r>
    </w:p>
    <w:p w14:paraId="5153CC25" w14:textId="395F9165" w:rsidR="006772CA" w:rsidRDefault="00470604" w:rsidP="006772CA">
      <w:pPr>
        <w:pStyle w:val="Bullet1"/>
      </w:pPr>
      <w:r w:rsidRPr="00D31340">
        <w:t>electricity</w:t>
      </w:r>
    </w:p>
    <w:p w14:paraId="36F6CBD5" w14:textId="2259A869" w:rsidR="006772CA" w:rsidRDefault="00470604" w:rsidP="006772CA">
      <w:pPr>
        <w:pStyle w:val="Bullet1"/>
      </w:pPr>
      <w:r w:rsidRPr="00D31340">
        <w:t>steam</w:t>
      </w:r>
    </w:p>
    <w:p w14:paraId="01018CA0" w14:textId="549A1A7B" w:rsidR="00470604" w:rsidRPr="00D31340" w:rsidRDefault="00470604" w:rsidP="008037D1">
      <w:pPr>
        <w:pStyle w:val="Bullet1"/>
      </w:pPr>
      <w:r w:rsidRPr="00D31340">
        <w:t>heating hot water or chilled water.</w:t>
      </w:r>
    </w:p>
    <w:p w14:paraId="557E16E8" w14:textId="1050D033" w:rsidR="00BF6CB5" w:rsidRPr="002B5CB0" w:rsidRDefault="00470604" w:rsidP="008037D1">
      <w:pPr>
        <w:pStyle w:val="Bodyafterbullets"/>
      </w:pPr>
      <w:r w:rsidRPr="00D31340">
        <w:t>For most health services</w:t>
      </w:r>
      <w:r w:rsidR="006772CA">
        <w:t>,</w:t>
      </w:r>
      <w:r w:rsidRPr="00D31340">
        <w:t xml:space="preserve"> electricity purchased from electricity retailers is the only scope 2 emission. Some health services </w:t>
      </w:r>
      <w:r w:rsidR="006772CA">
        <w:t xml:space="preserve">will </w:t>
      </w:r>
      <w:r w:rsidRPr="00D31340">
        <w:t>need to include other energy purchased from a third party</w:t>
      </w:r>
      <w:r w:rsidR="006772CA">
        <w:t>,</w:t>
      </w:r>
      <w:r w:rsidRPr="00D31340">
        <w:t xml:space="preserve"> such as electricity and steam purchased from a co</w:t>
      </w:r>
      <w:r w:rsidR="006772CA">
        <w:t>-</w:t>
      </w:r>
      <w:r w:rsidRPr="00D31340">
        <w:t>generation plant operator.</w:t>
      </w:r>
    </w:p>
    <w:p w14:paraId="4B4D4F67" w14:textId="77777777" w:rsidR="00470604" w:rsidRPr="00BF6CB5" w:rsidRDefault="00470604" w:rsidP="008037D1">
      <w:pPr>
        <w:pStyle w:val="Heading2notinTOC"/>
      </w:pPr>
      <w:r w:rsidRPr="00BF6CB5">
        <w:t>Scope 3: other indirect emissions</w:t>
      </w:r>
    </w:p>
    <w:p w14:paraId="45480539" w14:textId="074FDC51" w:rsidR="006772CA" w:rsidRDefault="00470604" w:rsidP="00ED7762">
      <w:pPr>
        <w:pStyle w:val="Body"/>
      </w:pPr>
      <w:r>
        <w:t>E</w:t>
      </w:r>
      <w:r w:rsidRPr="006C4D06">
        <w:t>mission</w:t>
      </w:r>
      <w:r w:rsidR="00924462">
        <w:t>s</w:t>
      </w:r>
      <w:r w:rsidRPr="006C4D06">
        <w:t xml:space="preserve"> related to activities not owned or controlled by the health service</w:t>
      </w:r>
      <w:r>
        <w:t>. F</w:t>
      </w:r>
      <w:r w:rsidRPr="006C4D06">
        <w:t>or example</w:t>
      </w:r>
      <w:r w:rsidR="006772CA">
        <w:t>:</w:t>
      </w:r>
    </w:p>
    <w:p w14:paraId="5E8B2A4E" w14:textId="7CB0EBB6" w:rsidR="006772CA" w:rsidRDefault="00470604" w:rsidP="006772CA">
      <w:pPr>
        <w:pStyle w:val="Bullet1"/>
      </w:pPr>
      <w:r w:rsidRPr="006C4D06">
        <w:t>waste</w:t>
      </w:r>
    </w:p>
    <w:p w14:paraId="705A1758" w14:textId="2A4FABFD" w:rsidR="006772CA" w:rsidRDefault="00470604" w:rsidP="006772CA">
      <w:pPr>
        <w:pStyle w:val="Bullet1"/>
      </w:pPr>
      <w:r w:rsidRPr="006C4D06">
        <w:t>air travel</w:t>
      </w:r>
    </w:p>
    <w:p w14:paraId="1B3FA8B8" w14:textId="0809247D" w:rsidR="00470604" w:rsidRDefault="006772CA" w:rsidP="008037D1">
      <w:pPr>
        <w:pStyle w:val="Bullet1"/>
      </w:pPr>
      <w:r>
        <w:t>purchased</w:t>
      </w:r>
      <w:r w:rsidRPr="006C4D06">
        <w:t xml:space="preserve"> </w:t>
      </w:r>
      <w:r w:rsidR="00470604" w:rsidRPr="006C4D06">
        <w:t>equipment or services.</w:t>
      </w:r>
    </w:p>
    <w:p w14:paraId="20C085B5" w14:textId="66CA4BB5" w:rsidR="00941E17" w:rsidRDefault="00941E17" w:rsidP="008037D1">
      <w:pPr>
        <w:pStyle w:val="Body"/>
      </w:pPr>
      <w:r>
        <w:br w:type="page"/>
      </w:r>
    </w:p>
    <w:p w14:paraId="22F1CA44" w14:textId="010D7234" w:rsidR="003F7123" w:rsidRDefault="00F73409" w:rsidP="00956D92">
      <w:pPr>
        <w:pStyle w:val="Heading1"/>
      </w:pPr>
      <w:bookmarkStart w:id="84" w:name="_Ref137632103"/>
      <w:bookmarkStart w:id="85" w:name="_Toc138239132"/>
      <w:bookmarkEnd w:id="6"/>
      <w:r w:rsidRPr="00BD09C7">
        <w:t xml:space="preserve">Appendix </w:t>
      </w:r>
      <w:r>
        <w:t>B</w:t>
      </w:r>
      <w:r w:rsidRPr="00BD09C7">
        <w:t xml:space="preserve">: </w:t>
      </w:r>
      <w:r>
        <w:t xml:space="preserve">Reporting tiers </w:t>
      </w:r>
      <w:r w:rsidR="00496AFF">
        <w:t xml:space="preserve">for </w:t>
      </w:r>
      <w:r>
        <w:t>Victorian public hospitals</w:t>
      </w:r>
      <w:r w:rsidR="009E4FC1">
        <w:t xml:space="preserve">, </w:t>
      </w:r>
      <w:r>
        <w:t>health services</w:t>
      </w:r>
      <w:r w:rsidR="009E4FC1">
        <w:t xml:space="preserve"> and</w:t>
      </w:r>
      <w:r w:rsidR="008138C6">
        <w:t xml:space="preserve"> </w:t>
      </w:r>
      <w:r w:rsidR="008138C6" w:rsidRPr="008138C6">
        <w:t>Department of Health portfolio entities</w:t>
      </w:r>
      <w:bookmarkEnd w:id="84"/>
      <w:bookmarkEnd w:id="85"/>
    </w:p>
    <w:p w14:paraId="1872ABCD" w14:textId="77777777" w:rsidR="00B4134B" w:rsidRDefault="00B4134B" w:rsidP="008037D1">
      <w:pPr>
        <w:pStyle w:val="Heading2notinTOC"/>
      </w:pPr>
      <w:r>
        <w:t xml:space="preserve">Tier </w:t>
      </w:r>
      <w:r w:rsidRPr="004C7C1D">
        <w:t>1</w:t>
      </w:r>
    </w:p>
    <w:p w14:paraId="562EAF5D" w14:textId="70A8D7FB" w:rsidR="00B4134B" w:rsidRPr="004C7C1D" w:rsidRDefault="00B4134B" w:rsidP="008037D1">
      <w:pPr>
        <w:pStyle w:val="Bullet1"/>
      </w:pPr>
      <w:r w:rsidRPr="004C7C1D">
        <w:t>Department of Health</w:t>
      </w:r>
    </w:p>
    <w:p w14:paraId="18726536" w14:textId="77777777" w:rsidR="00B4134B" w:rsidRDefault="00B4134B" w:rsidP="008037D1">
      <w:pPr>
        <w:pStyle w:val="Heading2notinTOC"/>
      </w:pPr>
      <w:r>
        <w:t xml:space="preserve">Tier </w:t>
      </w:r>
      <w:r w:rsidRPr="004C7C1D">
        <w:t>2</w:t>
      </w:r>
    </w:p>
    <w:p w14:paraId="580A5787" w14:textId="063F378F" w:rsidR="00B4134B" w:rsidRPr="004C7C1D" w:rsidRDefault="00B4134B" w:rsidP="00A9430F">
      <w:pPr>
        <w:pStyle w:val="Body"/>
        <w:rPr>
          <w:b/>
          <w:bCs/>
          <w:lang w:val="en-US"/>
        </w:rPr>
      </w:pPr>
      <w:r w:rsidRPr="004C7C1D">
        <w:rPr>
          <w:b/>
          <w:bCs/>
          <w:lang w:val="en-US"/>
        </w:rPr>
        <w:t>Metropolitan health services</w:t>
      </w:r>
      <w:r>
        <w:rPr>
          <w:b/>
          <w:bCs/>
          <w:lang w:val="en-US"/>
        </w:rPr>
        <w:t>:</w:t>
      </w:r>
    </w:p>
    <w:p w14:paraId="1FCCC098" w14:textId="77777777" w:rsidR="00B4134B" w:rsidRPr="004C7C1D" w:rsidRDefault="00B4134B" w:rsidP="008037D1">
      <w:pPr>
        <w:pStyle w:val="Bullet1"/>
        <w:rPr>
          <w:lang w:val="en-US"/>
        </w:rPr>
      </w:pPr>
      <w:r w:rsidRPr="004C7C1D">
        <w:rPr>
          <w:lang w:val="en-US"/>
        </w:rPr>
        <w:t>Alfred Health</w:t>
      </w:r>
    </w:p>
    <w:p w14:paraId="0D0545F0" w14:textId="77777777" w:rsidR="00B4134B" w:rsidRDefault="00B4134B" w:rsidP="008037D1">
      <w:pPr>
        <w:pStyle w:val="Bullet1"/>
      </w:pPr>
      <w:r w:rsidRPr="004C7C1D">
        <w:t>Austin Health</w:t>
      </w:r>
    </w:p>
    <w:p w14:paraId="1E58BCF0" w14:textId="77777777" w:rsidR="00B4134B" w:rsidRPr="004C7C1D" w:rsidRDefault="00B4134B" w:rsidP="008037D1">
      <w:pPr>
        <w:pStyle w:val="Bullet1"/>
      </w:pPr>
      <w:r w:rsidRPr="004C7C1D">
        <w:t>Eastern Health</w:t>
      </w:r>
    </w:p>
    <w:p w14:paraId="4D55183B" w14:textId="2EBA9735" w:rsidR="00B4134B" w:rsidRDefault="00B4134B" w:rsidP="008037D1">
      <w:pPr>
        <w:pStyle w:val="Bullet1"/>
      </w:pPr>
      <w:r w:rsidRPr="004C7C1D">
        <w:t>Melbourne Health</w:t>
      </w:r>
    </w:p>
    <w:p w14:paraId="23820F78" w14:textId="64C23E15" w:rsidR="00BE0CFE" w:rsidRDefault="00E6341D" w:rsidP="008037D1">
      <w:pPr>
        <w:pStyle w:val="Bullet1"/>
      </w:pPr>
      <w:r>
        <w:t>Mercy Health</w:t>
      </w:r>
    </w:p>
    <w:p w14:paraId="1DB5095F" w14:textId="6256383A" w:rsidR="00B4134B" w:rsidRPr="004C7C1D" w:rsidRDefault="00B4134B" w:rsidP="008037D1">
      <w:pPr>
        <w:pStyle w:val="Bullet1"/>
      </w:pPr>
      <w:r w:rsidRPr="004C7C1D">
        <w:t xml:space="preserve">Monash Health </w:t>
      </w:r>
    </w:p>
    <w:p w14:paraId="453537C3" w14:textId="77777777" w:rsidR="00B4134B" w:rsidRPr="004C7C1D" w:rsidRDefault="00B4134B" w:rsidP="008037D1">
      <w:pPr>
        <w:pStyle w:val="Bullet1"/>
      </w:pPr>
      <w:r w:rsidRPr="004C7C1D">
        <w:t>Northern Health</w:t>
      </w:r>
    </w:p>
    <w:p w14:paraId="25A8FACD" w14:textId="77777777" w:rsidR="00B4134B" w:rsidRPr="004C7C1D" w:rsidRDefault="00B4134B" w:rsidP="008037D1">
      <w:pPr>
        <w:pStyle w:val="Bullet1"/>
      </w:pPr>
      <w:r w:rsidRPr="004C7C1D">
        <w:t>Peninsula Health</w:t>
      </w:r>
    </w:p>
    <w:p w14:paraId="5EAA3E79" w14:textId="77777777" w:rsidR="00B4134B" w:rsidRPr="004C7C1D" w:rsidRDefault="00B4134B" w:rsidP="008037D1">
      <w:pPr>
        <w:pStyle w:val="Bullet1"/>
      </w:pPr>
      <w:r w:rsidRPr="004C7C1D">
        <w:t>Peter MacCallum Cancer Centre</w:t>
      </w:r>
    </w:p>
    <w:p w14:paraId="442B840B" w14:textId="77777777" w:rsidR="00B4134B" w:rsidRPr="004C7C1D" w:rsidRDefault="00B4134B" w:rsidP="008037D1">
      <w:pPr>
        <w:pStyle w:val="Bullet1"/>
      </w:pPr>
      <w:r w:rsidRPr="004C7C1D">
        <w:t>Royal Children's Hospital</w:t>
      </w:r>
    </w:p>
    <w:p w14:paraId="54757CE7" w14:textId="77777777" w:rsidR="00B4134B" w:rsidRPr="004C7C1D" w:rsidRDefault="00B4134B" w:rsidP="008037D1">
      <w:pPr>
        <w:pStyle w:val="Bullet1"/>
      </w:pPr>
      <w:r w:rsidRPr="004C7C1D">
        <w:t>Royal Victorian Eye and Ear Hospital</w:t>
      </w:r>
    </w:p>
    <w:p w14:paraId="3A457AC4" w14:textId="77777777" w:rsidR="00B4134B" w:rsidRPr="004C7C1D" w:rsidRDefault="00B4134B" w:rsidP="008037D1">
      <w:pPr>
        <w:pStyle w:val="Bullet1"/>
      </w:pPr>
      <w:r w:rsidRPr="004C7C1D">
        <w:t>Royal Women’s Hospital</w:t>
      </w:r>
    </w:p>
    <w:p w14:paraId="16838AAC" w14:textId="77777777" w:rsidR="00B4134B" w:rsidRPr="004C7C1D" w:rsidRDefault="00B4134B" w:rsidP="008037D1">
      <w:pPr>
        <w:pStyle w:val="Bullet1"/>
      </w:pPr>
      <w:r w:rsidRPr="004C7C1D">
        <w:t>St Vincent's Health</w:t>
      </w:r>
    </w:p>
    <w:p w14:paraId="4F6B9750" w14:textId="77777777" w:rsidR="00B4134B" w:rsidRPr="004C7C1D" w:rsidRDefault="00B4134B" w:rsidP="008037D1">
      <w:pPr>
        <w:pStyle w:val="Bullet1"/>
        <w:rPr>
          <w:b/>
          <w:bCs/>
          <w:lang w:val="en-US"/>
        </w:rPr>
      </w:pPr>
      <w:r w:rsidRPr="004C7C1D">
        <w:t>Western Health</w:t>
      </w:r>
    </w:p>
    <w:p w14:paraId="40A2332B" w14:textId="77777777" w:rsidR="00B4134B" w:rsidRDefault="00B4134B" w:rsidP="00751925">
      <w:pPr>
        <w:pStyle w:val="Heading2notinTOC"/>
      </w:pPr>
      <w:r>
        <w:t xml:space="preserve">Tier </w:t>
      </w:r>
      <w:r w:rsidRPr="004C7C1D">
        <w:t>3a</w:t>
      </w:r>
    </w:p>
    <w:p w14:paraId="526B85F5" w14:textId="77777777" w:rsidR="00B4134B" w:rsidRDefault="00B4134B" w:rsidP="00751925">
      <w:pPr>
        <w:pStyle w:val="Heading3"/>
        <w:spacing w:before="200"/>
        <w:rPr>
          <w:lang w:val="en-US"/>
        </w:rPr>
      </w:pPr>
      <w:r w:rsidRPr="004C7C1D">
        <w:rPr>
          <w:lang w:val="en-US"/>
        </w:rPr>
        <w:t>Other public health services and hospitals</w:t>
      </w:r>
    </w:p>
    <w:p w14:paraId="6D98C60E" w14:textId="5667B9E6" w:rsidR="00B4134B" w:rsidRPr="004C7C1D" w:rsidRDefault="00B4134B" w:rsidP="006772CA">
      <w:pPr>
        <w:pStyle w:val="Body"/>
        <w:rPr>
          <w:lang w:val="en-US"/>
        </w:rPr>
      </w:pPr>
      <w:r w:rsidRPr="008037D1">
        <w:t>Includes</w:t>
      </w:r>
      <w:r w:rsidRPr="004C7C1D">
        <w:rPr>
          <w:lang w:val="en-US"/>
        </w:rPr>
        <w:t xml:space="preserve"> Ambulance Victoria and regional, sub-regional, local, small rural, multipurpose and statewide health services</w:t>
      </w:r>
      <w:r w:rsidR="006772CA">
        <w:rPr>
          <w:lang w:val="en-US"/>
        </w:rPr>
        <w:t>.</w:t>
      </w:r>
    </w:p>
    <w:p w14:paraId="18F2F9CE" w14:textId="77777777" w:rsidR="00B4134B" w:rsidRPr="004C7C1D" w:rsidRDefault="00B4134B" w:rsidP="008037D1">
      <w:pPr>
        <w:pStyle w:val="Bullet1"/>
        <w:rPr>
          <w:lang w:val="en-US"/>
        </w:rPr>
      </w:pPr>
      <w:r w:rsidRPr="004C7C1D">
        <w:rPr>
          <w:lang w:val="en-US"/>
        </w:rPr>
        <w:t>Albury Wodonga Health</w:t>
      </w:r>
    </w:p>
    <w:p w14:paraId="3C660AE9" w14:textId="77777777" w:rsidR="00B4134B" w:rsidRPr="004C7C1D" w:rsidRDefault="00B4134B" w:rsidP="008037D1">
      <w:pPr>
        <w:pStyle w:val="Bullet1"/>
        <w:rPr>
          <w:lang w:val="en-US"/>
        </w:rPr>
      </w:pPr>
      <w:r w:rsidRPr="004C7C1D">
        <w:rPr>
          <w:lang w:val="en-US"/>
        </w:rPr>
        <w:t>Alexandra District Hospital</w:t>
      </w:r>
    </w:p>
    <w:p w14:paraId="31BD5387" w14:textId="77777777" w:rsidR="00B4134B" w:rsidRPr="004C7C1D" w:rsidRDefault="00B4134B" w:rsidP="008037D1">
      <w:pPr>
        <w:pStyle w:val="Bullet1"/>
        <w:rPr>
          <w:lang w:val="en-US"/>
        </w:rPr>
      </w:pPr>
      <w:r w:rsidRPr="004C7C1D">
        <w:rPr>
          <w:lang w:val="en-US"/>
        </w:rPr>
        <w:t>Alpine Health</w:t>
      </w:r>
    </w:p>
    <w:p w14:paraId="473A3570" w14:textId="77777777" w:rsidR="00B4134B" w:rsidRPr="004C7C1D" w:rsidRDefault="00B4134B" w:rsidP="008037D1">
      <w:pPr>
        <w:pStyle w:val="Bullet1"/>
        <w:rPr>
          <w:lang w:val="en-US"/>
        </w:rPr>
      </w:pPr>
      <w:r w:rsidRPr="004C7C1D">
        <w:rPr>
          <w:lang w:val="en-US"/>
        </w:rPr>
        <w:t>Ambulance Victoria</w:t>
      </w:r>
    </w:p>
    <w:p w14:paraId="1F20E9E6" w14:textId="77777777" w:rsidR="00B4134B" w:rsidRPr="004C7C1D" w:rsidRDefault="00B4134B" w:rsidP="008037D1">
      <w:pPr>
        <w:pStyle w:val="Bullet1"/>
      </w:pPr>
      <w:r w:rsidRPr="004C7C1D">
        <w:t>Bairnsdale Regional Health Service</w:t>
      </w:r>
    </w:p>
    <w:p w14:paraId="4CB9D8B9" w14:textId="77777777" w:rsidR="00B4134B" w:rsidRPr="004C7C1D" w:rsidRDefault="00B4134B" w:rsidP="008037D1">
      <w:pPr>
        <w:pStyle w:val="Bullet1"/>
      </w:pPr>
      <w:r w:rsidRPr="004C7C1D">
        <w:t>Barwon Health</w:t>
      </w:r>
    </w:p>
    <w:p w14:paraId="10BC0594" w14:textId="77777777" w:rsidR="00B4134B" w:rsidRPr="004C7C1D" w:rsidRDefault="00B4134B" w:rsidP="008037D1">
      <w:pPr>
        <w:pStyle w:val="Bullet1"/>
      </w:pPr>
      <w:r w:rsidRPr="004C7C1D">
        <w:t>Bass Coast Health</w:t>
      </w:r>
    </w:p>
    <w:p w14:paraId="182EC67A" w14:textId="77777777" w:rsidR="00B4134B" w:rsidRPr="004C7C1D" w:rsidRDefault="00B4134B" w:rsidP="008037D1">
      <w:pPr>
        <w:pStyle w:val="Bullet1"/>
      </w:pPr>
      <w:r w:rsidRPr="004C7C1D">
        <w:t>Beaufort and Skipton Health Service</w:t>
      </w:r>
    </w:p>
    <w:p w14:paraId="5580E347" w14:textId="77777777" w:rsidR="00B4134B" w:rsidRPr="004C7C1D" w:rsidRDefault="00B4134B" w:rsidP="008037D1">
      <w:pPr>
        <w:pStyle w:val="Bullet1"/>
      </w:pPr>
      <w:r w:rsidRPr="004C7C1D">
        <w:t>Beechworth Health Service</w:t>
      </w:r>
    </w:p>
    <w:p w14:paraId="4C9BF408" w14:textId="77777777" w:rsidR="00B4134B" w:rsidRPr="004C7C1D" w:rsidRDefault="00B4134B" w:rsidP="008037D1">
      <w:pPr>
        <w:pStyle w:val="Bullet1"/>
      </w:pPr>
      <w:r w:rsidRPr="004C7C1D">
        <w:t>Benalla Health</w:t>
      </w:r>
    </w:p>
    <w:p w14:paraId="15EDBD90" w14:textId="77777777" w:rsidR="00B4134B" w:rsidRPr="004C7C1D" w:rsidRDefault="00B4134B" w:rsidP="008037D1">
      <w:pPr>
        <w:pStyle w:val="Bullet1"/>
      </w:pPr>
      <w:r w:rsidRPr="004C7C1D">
        <w:t>Bendigo Health Care Group</w:t>
      </w:r>
    </w:p>
    <w:p w14:paraId="5C8DEAF1" w14:textId="77777777" w:rsidR="00B4134B" w:rsidRDefault="00B4134B" w:rsidP="008037D1">
      <w:pPr>
        <w:pStyle w:val="Bullet1"/>
      </w:pPr>
      <w:r w:rsidRPr="004C7C1D">
        <w:t>Boort District Health</w:t>
      </w:r>
    </w:p>
    <w:p w14:paraId="4B7B1124" w14:textId="77777777" w:rsidR="00B4134B" w:rsidRPr="00492204" w:rsidRDefault="00B4134B" w:rsidP="008037D1">
      <w:pPr>
        <w:pStyle w:val="Bullet1"/>
      </w:pPr>
      <w:r w:rsidRPr="00492204">
        <w:t>Calvary Bethlehem Melbourne</w:t>
      </w:r>
    </w:p>
    <w:p w14:paraId="4B4D7A01" w14:textId="77777777" w:rsidR="00B4134B" w:rsidRDefault="00B4134B" w:rsidP="008037D1">
      <w:pPr>
        <w:pStyle w:val="Bullet1"/>
      </w:pPr>
      <w:r w:rsidRPr="004C7C1D">
        <w:t>Casterton Memorial Hospital</w:t>
      </w:r>
    </w:p>
    <w:p w14:paraId="764E4FBA" w14:textId="77777777" w:rsidR="00B4134B" w:rsidRPr="004C7C1D" w:rsidRDefault="00B4134B" w:rsidP="008037D1">
      <w:pPr>
        <w:pStyle w:val="Bullet1"/>
      </w:pPr>
      <w:r>
        <w:t>Castlemaine Health</w:t>
      </w:r>
    </w:p>
    <w:p w14:paraId="35558AD5" w14:textId="77777777" w:rsidR="00B4134B" w:rsidRPr="004C7C1D" w:rsidRDefault="00B4134B" w:rsidP="008037D1">
      <w:pPr>
        <w:pStyle w:val="Bullet1"/>
      </w:pPr>
      <w:r w:rsidRPr="004C7C1D">
        <w:t>Central Gippsland Health Service</w:t>
      </w:r>
    </w:p>
    <w:p w14:paraId="2DBBD563" w14:textId="77777777" w:rsidR="00B4134B" w:rsidRPr="004C7C1D" w:rsidRDefault="00B4134B" w:rsidP="008037D1">
      <w:pPr>
        <w:pStyle w:val="Bullet1"/>
      </w:pPr>
      <w:r w:rsidRPr="004C7C1D">
        <w:t>Central Highlands Rural Health</w:t>
      </w:r>
    </w:p>
    <w:p w14:paraId="19F5FFCC" w14:textId="77777777" w:rsidR="00B4134B" w:rsidRPr="004C7C1D" w:rsidRDefault="00B4134B" w:rsidP="008037D1">
      <w:pPr>
        <w:pStyle w:val="Bullet1"/>
      </w:pPr>
      <w:r w:rsidRPr="004C7C1D">
        <w:t>Cohuna District Hospital</w:t>
      </w:r>
    </w:p>
    <w:p w14:paraId="0D62FDDE" w14:textId="77777777" w:rsidR="00B4134B" w:rsidRPr="004C7C1D" w:rsidRDefault="00B4134B" w:rsidP="008037D1">
      <w:pPr>
        <w:pStyle w:val="Bullet1"/>
      </w:pPr>
      <w:r w:rsidRPr="004C7C1D">
        <w:t>Colac Area Health</w:t>
      </w:r>
    </w:p>
    <w:p w14:paraId="29B1EF70" w14:textId="77777777" w:rsidR="00B4134B" w:rsidRDefault="00B4134B" w:rsidP="008037D1">
      <w:pPr>
        <w:pStyle w:val="Bullet1"/>
      </w:pPr>
      <w:r w:rsidRPr="004C7C1D">
        <w:t>Corryong Health</w:t>
      </w:r>
    </w:p>
    <w:p w14:paraId="2A3B6199" w14:textId="77777777" w:rsidR="00B4134B" w:rsidRPr="004C7C1D" w:rsidRDefault="00B4134B" w:rsidP="008037D1">
      <w:pPr>
        <w:pStyle w:val="Bullet1"/>
      </w:pPr>
      <w:r w:rsidRPr="00BC07E9">
        <w:t>Dental Health Services Victoria</w:t>
      </w:r>
    </w:p>
    <w:p w14:paraId="431BF01E" w14:textId="77777777" w:rsidR="00B4134B" w:rsidRPr="004C7C1D" w:rsidRDefault="00B4134B" w:rsidP="008037D1">
      <w:pPr>
        <w:pStyle w:val="Bullet1"/>
        <w:rPr>
          <w:lang w:val="en-US"/>
        </w:rPr>
      </w:pPr>
      <w:proofErr w:type="spellStart"/>
      <w:r w:rsidRPr="004C7C1D">
        <w:rPr>
          <w:lang w:val="en-US"/>
        </w:rPr>
        <w:t>Dhelkaya</w:t>
      </w:r>
      <w:proofErr w:type="spellEnd"/>
      <w:r w:rsidRPr="004C7C1D">
        <w:rPr>
          <w:lang w:val="en-US"/>
        </w:rPr>
        <w:t xml:space="preserve"> Health</w:t>
      </w:r>
    </w:p>
    <w:p w14:paraId="21D777F5" w14:textId="77777777" w:rsidR="00B4134B" w:rsidRPr="004C7C1D" w:rsidRDefault="00B4134B" w:rsidP="008037D1">
      <w:pPr>
        <w:pStyle w:val="Bullet1"/>
        <w:rPr>
          <w:lang w:val="en-US"/>
        </w:rPr>
      </w:pPr>
      <w:r w:rsidRPr="004C7C1D">
        <w:rPr>
          <w:lang w:val="en-US"/>
        </w:rPr>
        <w:t>East Grampians Health Service</w:t>
      </w:r>
    </w:p>
    <w:p w14:paraId="6221A94D" w14:textId="77777777" w:rsidR="00B4134B" w:rsidRPr="004C7C1D" w:rsidRDefault="00B4134B" w:rsidP="008037D1">
      <w:pPr>
        <w:pStyle w:val="Bullet1"/>
        <w:rPr>
          <w:lang w:val="en-US"/>
        </w:rPr>
      </w:pPr>
      <w:r w:rsidRPr="004C7C1D">
        <w:rPr>
          <w:lang w:val="en-US"/>
        </w:rPr>
        <w:t>East Wimmera Health Service</w:t>
      </w:r>
    </w:p>
    <w:p w14:paraId="4068CAC3" w14:textId="77777777" w:rsidR="00B4134B" w:rsidRPr="004C7C1D" w:rsidRDefault="00B4134B" w:rsidP="008037D1">
      <w:pPr>
        <w:pStyle w:val="Bullet1"/>
        <w:rPr>
          <w:lang w:val="en-US"/>
        </w:rPr>
      </w:pPr>
      <w:r w:rsidRPr="004C7C1D">
        <w:rPr>
          <w:lang w:val="en-US"/>
        </w:rPr>
        <w:t>Echuca Regional Health</w:t>
      </w:r>
    </w:p>
    <w:p w14:paraId="0F3761E0" w14:textId="77777777" w:rsidR="00B4134B" w:rsidRPr="004C7C1D" w:rsidRDefault="00B4134B" w:rsidP="008037D1">
      <w:pPr>
        <w:pStyle w:val="Bullet1"/>
      </w:pPr>
      <w:r w:rsidRPr="004C7C1D">
        <w:t>Gippsland Southern Health Service</w:t>
      </w:r>
    </w:p>
    <w:p w14:paraId="5AB28958" w14:textId="77777777" w:rsidR="00B4134B" w:rsidRPr="004C7C1D" w:rsidRDefault="00B4134B" w:rsidP="008037D1">
      <w:pPr>
        <w:pStyle w:val="Bullet1"/>
      </w:pPr>
      <w:r w:rsidRPr="004C7C1D">
        <w:t>Goulburn Valley Health</w:t>
      </w:r>
    </w:p>
    <w:p w14:paraId="0E4BCCF0" w14:textId="77777777" w:rsidR="00B4134B" w:rsidRPr="004C7C1D" w:rsidRDefault="00B4134B" w:rsidP="008037D1">
      <w:pPr>
        <w:pStyle w:val="Bullet1"/>
      </w:pPr>
      <w:r w:rsidRPr="004C7C1D">
        <w:t>Grampians Health</w:t>
      </w:r>
    </w:p>
    <w:p w14:paraId="0D01D01C" w14:textId="77777777" w:rsidR="00B4134B" w:rsidRPr="004C7C1D" w:rsidRDefault="00B4134B" w:rsidP="008037D1">
      <w:pPr>
        <w:pStyle w:val="Bullet1"/>
      </w:pPr>
      <w:r w:rsidRPr="004C7C1D">
        <w:t>Great Ocean Road Health</w:t>
      </w:r>
    </w:p>
    <w:p w14:paraId="19996923" w14:textId="77777777" w:rsidR="00B4134B" w:rsidRPr="004C7C1D" w:rsidRDefault="00B4134B" w:rsidP="008037D1">
      <w:pPr>
        <w:pStyle w:val="Bullet1"/>
      </w:pPr>
      <w:r w:rsidRPr="004C7C1D">
        <w:t>Heathcote Health</w:t>
      </w:r>
    </w:p>
    <w:p w14:paraId="2D632893" w14:textId="77777777" w:rsidR="00B4134B" w:rsidRPr="004C7C1D" w:rsidRDefault="00B4134B" w:rsidP="008037D1">
      <w:pPr>
        <w:pStyle w:val="Bullet1"/>
      </w:pPr>
      <w:r w:rsidRPr="004C7C1D">
        <w:t>Hesse Rural Health Service</w:t>
      </w:r>
    </w:p>
    <w:p w14:paraId="50186678" w14:textId="77777777" w:rsidR="00B4134B" w:rsidRPr="004C7C1D" w:rsidRDefault="00B4134B" w:rsidP="008037D1">
      <w:pPr>
        <w:pStyle w:val="Bullet1"/>
      </w:pPr>
      <w:r w:rsidRPr="004C7C1D">
        <w:t>Heywood Rural Health</w:t>
      </w:r>
    </w:p>
    <w:p w14:paraId="531FE5FB" w14:textId="77777777" w:rsidR="00B4134B" w:rsidRPr="004C7C1D" w:rsidRDefault="00B4134B" w:rsidP="008037D1">
      <w:pPr>
        <w:pStyle w:val="Bullet1"/>
      </w:pPr>
      <w:r w:rsidRPr="004C7C1D">
        <w:t>Inglewood and District Health Service</w:t>
      </w:r>
    </w:p>
    <w:p w14:paraId="09C6A69A" w14:textId="77777777" w:rsidR="00B4134B" w:rsidRPr="004C7C1D" w:rsidRDefault="00B4134B" w:rsidP="008037D1">
      <w:pPr>
        <w:pStyle w:val="Bullet1"/>
      </w:pPr>
      <w:r w:rsidRPr="004C7C1D">
        <w:t>Kerang District Health</w:t>
      </w:r>
    </w:p>
    <w:p w14:paraId="24F22250" w14:textId="77777777" w:rsidR="00B4134B" w:rsidRPr="004C7C1D" w:rsidRDefault="00B4134B" w:rsidP="008037D1">
      <w:pPr>
        <w:pStyle w:val="Bullet1"/>
      </w:pPr>
      <w:r w:rsidRPr="004C7C1D">
        <w:t>Kilmore District Health</w:t>
      </w:r>
    </w:p>
    <w:p w14:paraId="781B0BA9" w14:textId="77777777" w:rsidR="00B4134B" w:rsidRPr="004C7C1D" w:rsidRDefault="00B4134B" w:rsidP="008037D1">
      <w:pPr>
        <w:pStyle w:val="Bullet1"/>
      </w:pPr>
      <w:r w:rsidRPr="004C7C1D">
        <w:t>Kooweerup Regional Health Service</w:t>
      </w:r>
    </w:p>
    <w:p w14:paraId="409B3FDD" w14:textId="77777777" w:rsidR="00B4134B" w:rsidRPr="004C7C1D" w:rsidRDefault="00B4134B" w:rsidP="008037D1">
      <w:pPr>
        <w:pStyle w:val="Bullet1"/>
      </w:pPr>
      <w:r w:rsidRPr="004C7C1D">
        <w:t>Kyabram and District Health Service</w:t>
      </w:r>
    </w:p>
    <w:p w14:paraId="1EEDE9AA" w14:textId="77777777" w:rsidR="00B4134B" w:rsidRDefault="00B4134B" w:rsidP="008037D1">
      <w:pPr>
        <w:pStyle w:val="Bullet1"/>
      </w:pPr>
      <w:r w:rsidRPr="004C7C1D">
        <w:t>Latrobe Regional Hospital</w:t>
      </w:r>
    </w:p>
    <w:p w14:paraId="2829D336" w14:textId="77777777" w:rsidR="00B4134B" w:rsidRDefault="00B4134B" w:rsidP="008037D1">
      <w:pPr>
        <w:pStyle w:val="Bullet1"/>
      </w:pPr>
      <w:r>
        <w:t>Maldon Hospital</w:t>
      </w:r>
    </w:p>
    <w:p w14:paraId="679877C9" w14:textId="77777777" w:rsidR="00B4134B" w:rsidRDefault="00B4134B" w:rsidP="008037D1">
      <w:pPr>
        <w:pStyle w:val="Bullet1"/>
      </w:pPr>
      <w:r>
        <w:t>Mallee Track Health and Community Service</w:t>
      </w:r>
    </w:p>
    <w:p w14:paraId="5F384A8F" w14:textId="77777777" w:rsidR="00B4134B" w:rsidRPr="004C7C1D" w:rsidRDefault="00B4134B" w:rsidP="008037D1">
      <w:pPr>
        <w:pStyle w:val="Bullet1"/>
      </w:pPr>
      <w:r>
        <w:t>Mansfield District Hospital</w:t>
      </w:r>
    </w:p>
    <w:p w14:paraId="0D914969" w14:textId="77777777" w:rsidR="00B4134B" w:rsidRPr="004C7C1D" w:rsidRDefault="00B4134B" w:rsidP="008037D1">
      <w:pPr>
        <w:pStyle w:val="Bullet1"/>
      </w:pPr>
      <w:r w:rsidRPr="004C7C1D">
        <w:t>Maryborough District Health Service</w:t>
      </w:r>
    </w:p>
    <w:p w14:paraId="19BA057B" w14:textId="77777777" w:rsidR="00B4134B" w:rsidRPr="004C7C1D" w:rsidRDefault="00B4134B" w:rsidP="008037D1">
      <w:pPr>
        <w:pStyle w:val="Bullet1"/>
      </w:pPr>
      <w:r w:rsidRPr="004C7C1D">
        <w:t>Mildura Base Public Hospital</w:t>
      </w:r>
    </w:p>
    <w:p w14:paraId="10710C57" w14:textId="77777777" w:rsidR="00B4134B" w:rsidRPr="004C7C1D" w:rsidRDefault="00B4134B" w:rsidP="008037D1">
      <w:pPr>
        <w:pStyle w:val="Bullet1"/>
      </w:pPr>
      <w:r w:rsidRPr="004C7C1D">
        <w:t>Moyne Health Services</w:t>
      </w:r>
    </w:p>
    <w:p w14:paraId="5BF3121D" w14:textId="77777777" w:rsidR="00B4134B" w:rsidRPr="004C7C1D" w:rsidRDefault="00B4134B" w:rsidP="008037D1">
      <w:pPr>
        <w:pStyle w:val="Bullet1"/>
      </w:pPr>
      <w:r w:rsidRPr="004C7C1D">
        <w:t>NCN Health</w:t>
      </w:r>
    </w:p>
    <w:p w14:paraId="170AB855" w14:textId="77777777" w:rsidR="00B4134B" w:rsidRPr="004C7C1D" w:rsidRDefault="00B4134B" w:rsidP="008037D1">
      <w:pPr>
        <w:pStyle w:val="Bullet1"/>
      </w:pPr>
      <w:r w:rsidRPr="004C7C1D">
        <w:t>Northeast Health Wangaratta</w:t>
      </w:r>
    </w:p>
    <w:p w14:paraId="114E4789" w14:textId="77777777" w:rsidR="00B4134B" w:rsidRPr="004C7C1D" w:rsidRDefault="00B4134B" w:rsidP="008037D1">
      <w:pPr>
        <w:pStyle w:val="Bullet1"/>
      </w:pPr>
      <w:r w:rsidRPr="004C7C1D">
        <w:t>Omeo District Health</w:t>
      </w:r>
    </w:p>
    <w:p w14:paraId="031AFE28" w14:textId="77777777" w:rsidR="00B4134B" w:rsidRPr="004C7C1D" w:rsidRDefault="00B4134B" w:rsidP="008037D1">
      <w:pPr>
        <w:pStyle w:val="Bullet1"/>
      </w:pPr>
      <w:r w:rsidRPr="004C7C1D">
        <w:t>Orbost Regional Health</w:t>
      </w:r>
    </w:p>
    <w:p w14:paraId="3D94FE87" w14:textId="77777777" w:rsidR="00B4134B" w:rsidRPr="004C7C1D" w:rsidRDefault="00B4134B" w:rsidP="008037D1">
      <w:pPr>
        <w:pStyle w:val="Bullet1"/>
      </w:pPr>
      <w:r w:rsidRPr="004C7C1D">
        <w:t>Portland District Health</w:t>
      </w:r>
    </w:p>
    <w:p w14:paraId="17F54B27" w14:textId="77777777" w:rsidR="00B4134B" w:rsidRPr="004C7C1D" w:rsidRDefault="00B4134B" w:rsidP="008037D1">
      <w:pPr>
        <w:pStyle w:val="Bullet1"/>
      </w:pPr>
      <w:r w:rsidRPr="004C7C1D">
        <w:t>Robinvale District Health Services</w:t>
      </w:r>
    </w:p>
    <w:p w14:paraId="3850D3F0" w14:textId="77777777" w:rsidR="00B4134B" w:rsidRPr="004C7C1D" w:rsidRDefault="00B4134B" w:rsidP="008037D1">
      <w:pPr>
        <w:pStyle w:val="Bullet1"/>
      </w:pPr>
      <w:r w:rsidRPr="004C7C1D">
        <w:t>Rochester and Elmore District Health Service</w:t>
      </w:r>
    </w:p>
    <w:p w14:paraId="0FDF5D95" w14:textId="77777777" w:rsidR="00B4134B" w:rsidRPr="004C7C1D" w:rsidRDefault="00B4134B" w:rsidP="008037D1">
      <w:pPr>
        <w:pStyle w:val="Bullet1"/>
      </w:pPr>
      <w:r w:rsidRPr="004C7C1D">
        <w:t>Rural Northwest Health</w:t>
      </w:r>
    </w:p>
    <w:p w14:paraId="0715C3DF" w14:textId="77777777" w:rsidR="00B4134B" w:rsidRPr="004C7C1D" w:rsidRDefault="00B4134B" w:rsidP="008037D1">
      <w:pPr>
        <w:pStyle w:val="Bullet1"/>
      </w:pPr>
      <w:r w:rsidRPr="004C7C1D">
        <w:t>Seymour Health</w:t>
      </w:r>
    </w:p>
    <w:p w14:paraId="6907F1F7" w14:textId="77777777" w:rsidR="00B4134B" w:rsidRPr="004C7C1D" w:rsidRDefault="00B4134B" w:rsidP="008037D1">
      <w:pPr>
        <w:pStyle w:val="Bullet1"/>
      </w:pPr>
      <w:r w:rsidRPr="004C7C1D">
        <w:t>South Gippsland Hospital</w:t>
      </w:r>
    </w:p>
    <w:p w14:paraId="70DA7428" w14:textId="77777777" w:rsidR="00B4134B" w:rsidRPr="004C7C1D" w:rsidRDefault="00B4134B" w:rsidP="008037D1">
      <w:pPr>
        <w:pStyle w:val="Bullet1"/>
      </w:pPr>
      <w:r w:rsidRPr="004C7C1D">
        <w:t>South West Healthcare</w:t>
      </w:r>
    </w:p>
    <w:p w14:paraId="07A72429" w14:textId="77777777" w:rsidR="00B4134B" w:rsidRPr="004C7C1D" w:rsidRDefault="00B4134B" w:rsidP="008037D1">
      <w:pPr>
        <w:pStyle w:val="Bullet1"/>
      </w:pPr>
      <w:r w:rsidRPr="004C7C1D">
        <w:t>Swan Hill District Health</w:t>
      </w:r>
    </w:p>
    <w:p w14:paraId="3222F5AA" w14:textId="77777777" w:rsidR="00B4134B" w:rsidRPr="004C7C1D" w:rsidRDefault="00B4134B" w:rsidP="008037D1">
      <w:pPr>
        <w:pStyle w:val="Bullet1"/>
      </w:pPr>
      <w:r w:rsidRPr="004C7C1D">
        <w:t>Tallangatta Health Service</w:t>
      </w:r>
    </w:p>
    <w:p w14:paraId="02373A27" w14:textId="77777777" w:rsidR="00B4134B" w:rsidRPr="004C7C1D" w:rsidRDefault="00B4134B" w:rsidP="008037D1">
      <w:pPr>
        <w:pStyle w:val="Bullet1"/>
      </w:pPr>
      <w:r w:rsidRPr="004C7C1D">
        <w:t>Terang and Mortlake Health Service</w:t>
      </w:r>
    </w:p>
    <w:p w14:paraId="1BBE90E9" w14:textId="77777777" w:rsidR="00B4134B" w:rsidRPr="004C7C1D" w:rsidRDefault="00B4134B" w:rsidP="008037D1">
      <w:pPr>
        <w:pStyle w:val="Bullet1"/>
      </w:pPr>
      <w:r w:rsidRPr="004C7C1D">
        <w:t>Timboon and District Healthcare Service</w:t>
      </w:r>
    </w:p>
    <w:p w14:paraId="78C9EA99" w14:textId="77777777" w:rsidR="00B4134B" w:rsidRPr="004C7C1D" w:rsidRDefault="00B4134B" w:rsidP="008037D1">
      <w:pPr>
        <w:pStyle w:val="Bullet1"/>
      </w:pPr>
      <w:r w:rsidRPr="004C7C1D">
        <w:t>West Gippsland Healthcare Group</w:t>
      </w:r>
    </w:p>
    <w:p w14:paraId="7539EA03" w14:textId="77777777" w:rsidR="00B4134B" w:rsidRPr="004C7C1D" w:rsidRDefault="00B4134B" w:rsidP="008037D1">
      <w:pPr>
        <w:pStyle w:val="Bullet1"/>
      </w:pPr>
      <w:r w:rsidRPr="004C7C1D">
        <w:t>West Wimmera Health Service</w:t>
      </w:r>
    </w:p>
    <w:p w14:paraId="49D36DCD" w14:textId="77777777" w:rsidR="00B4134B" w:rsidRPr="004C7C1D" w:rsidRDefault="00B4134B" w:rsidP="008037D1">
      <w:pPr>
        <w:pStyle w:val="Bullet1"/>
      </w:pPr>
      <w:r w:rsidRPr="004C7C1D">
        <w:t>Western District Health Service</w:t>
      </w:r>
    </w:p>
    <w:p w14:paraId="4F281CED" w14:textId="77777777" w:rsidR="00B4134B" w:rsidRPr="004C7C1D" w:rsidRDefault="00B4134B" w:rsidP="008037D1">
      <w:pPr>
        <w:pStyle w:val="Bullet1"/>
      </w:pPr>
      <w:r w:rsidRPr="004C7C1D">
        <w:t>Yarram and District Health Service</w:t>
      </w:r>
    </w:p>
    <w:p w14:paraId="50EA8690" w14:textId="77777777" w:rsidR="00B4134B" w:rsidRPr="004C7C1D" w:rsidRDefault="00B4134B" w:rsidP="008037D1">
      <w:pPr>
        <w:pStyle w:val="Bullet1"/>
      </w:pPr>
      <w:r w:rsidRPr="004C7C1D">
        <w:t>Yarrawonga Health</w:t>
      </w:r>
    </w:p>
    <w:p w14:paraId="503933AE" w14:textId="77777777" w:rsidR="00B4134B" w:rsidRDefault="00B4134B" w:rsidP="008037D1">
      <w:pPr>
        <w:pStyle w:val="Bullet1"/>
      </w:pPr>
      <w:r w:rsidRPr="004C7C1D">
        <w:t>Yea and District Memorial Hospital</w:t>
      </w:r>
    </w:p>
    <w:p w14:paraId="02EB542B" w14:textId="0C1D51EC" w:rsidR="00B4134B" w:rsidRPr="005D1CD4" w:rsidRDefault="00B4134B" w:rsidP="008037D1">
      <w:pPr>
        <w:pStyle w:val="Heading3"/>
        <w:rPr>
          <w:lang w:val="en-US"/>
        </w:rPr>
      </w:pPr>
      <w:r w:rsidRPr="005D1CD4">
        <w:rPr>
          <w:lang w:val="en-US"/>
        </w:rPr>
        <w:t xml:space="preserve">Category A </w:t>
      </w:r>
      <w:r w:rsidR="00A0239A" w:rsidRPr="005D1CD4">
        <w:rPr>
          <w:lang w:val="en-US"/>
        </w:rPr>
        <w:t>cemetery trusts</w:t>
      </w:r>
    </w:p>
    <w:p w14:paraId="1908A009" w14:textId="49C77E62" w:rsidR="00B4134B" w:rsidRDefault="00B4134B" w:rsidP="008037D1">
      <w:pPr>
        <w:pStyle w:val="Bullet1"/>
      </w:pPr>
      <w:r w:rsidRPr="005D1CD4">
        <w:t xml:space="preserve">Ballarat </w:t>
      </w:r>
      <w:r w:rsidR="004B5F20">
        <w:t xml:space="preserve">General </w:t>
      </w:r>
      <w:r w:rsidRPr="005D1CD4">
        <w:t>Cemeteries</w:t>
      </w:r>
      <w:r w:rsidR="00940D7E">
        <w:t xml:space="preserve"> Trust</w:t>
      </w:r>
    </w:p>
    <w:p w14:paraId="7AF02567" w14:textId="194F071D" w:rsidR="00B4134B" w:rsidRPr="005D1CD4" w:rsidRDefault="00B4134B" w:rsidP="008037D1">
      <w:pPr>
        <w:pStyle w:val="Bullet1"/>
      </w:pPr>
      <w:r w:rsidRPr="00E17A59">
        <w:t>Geelong Cemetery Trust</w:t>
      </w:r>
    </w:p>
    <w:p w14:paraId="69D7D0BC" w14:textId="77777777" w:rsidR="00B4134B" w:rsidRDefault="00B4134B" w:rsidP="008037D1">
      <w:pPr>
        <w:pStyle w:val="Bullet1"/>
      </w:pPr>
      <w:r w:rsidRPr="005D1CD4">
        <w:t>Greater Metropolitan Cemeteries Trust</w:t>
      </w:r>
    </w:p>
    <w:p w14:paraId="176FA0EE" w14:textId="7900DDA1" w:rsidR="00B4134B" w:rsidRPr="00E0409B" w:rsidRDefault="00B4134B" w:rsidP="008037D1">
      <w:pPr>
        <w:pStyle w:val="Bullet1"/>
      </w:pPr>
      <w:r w:rsidRPr="00E0409B">
        <w:t>Remembrance Parks Central Victoria</w:t>
      </w:r>
      <w:r w:rsidR="00F61B9D">
        <w:t xml:space="preserve"> (</w:t>
      </w:r>
      <w:r w:rsidR="00D168DB">
        <w:t xml:space="preserve">formerly </w:t>
      </w:r>
      <w:r w:rsidR="005248BA">
        <w:t xml:space="preserve">Bendigo </w:t>
      </w:r>
      <w:r w:rsidR="00A513D8">
        <w:t>Cemeteries Trust)</w:t>
      </w:r>
    </w:p>
    <w:p w14:paraId="4AF763CA" w14:textId="6DC019FF" w:rsidR="0027761E" w:rsidRDefault="00B4134B" w:rsidP="00FB7014">
      <w:pPr>
        <w:pStyle w:val="Bullet1"/>
      </w:pPr>
      <w:r w:rsidRPr="005D1CD4">
        <w:t>Southern Metropolitan Cemeteries Trust</w:t>
      </w:r>
    </w:p>
    <w:p w14:paraId="770E47C3" w14:textId="35952035" w:rsidR="0027761E" w:rsidRPr="005D1CD4" w:rsidRDefault="00FB7014" w:rsidP="0027761E">
      <w:pPr>
        <w:pStyle w:val="Heading3"/>
        <w:rPr>
          <w:lang w:val="en-US"/>
        </w:rPr>
      </w:pPr>
      <w:r>
        <w:rPr>
          <w:lang w:val="en-US"/>
        </w:rPr>
        <w:t xml:space="preserve">Early </w:t>
      </w:r>
      <w:r w:rsidR="00914A18">
        <w:rPr>
          <w:lang w:val="en-US"/>
        </w:rPr>
        <w:t>P</w:t>
      </w:r>
      <w:r>
        <w:rPr>
          <w:lang w:val="en-US"/>
        </w:rPr>
        <w:t xml:space="preserve">arenting </w:t>
      </w:r>
      <w:proofErr w:type="spellStart"/>
      <w:r w:rsidR="00914A18">
        <w:rPr>
          <w:lang w:val="en-US"/>
        </w:rPr>
        <w:t>C</w:t>
      </w:r>
      <w:r>
        <w:rPr>
          <w:lang w:val="en-US"/>
        </w:rPr>
        <w:t>entres</w:t>
      </w:r>
      <w:proofErr w:type="spellEnd"/>
    </w:p>
    <w:p w14:paraId="4760B0CE" w14:textId="45CCF939" w:rsidR="00FB7014" w:rsidRDefault="00946F62" w:rsidP="00FB7014">
      <w:pPr>
        <w:pStyle w:val="Bullet1"/>
      </w:pPr>
      <w:r>
        <w:t xml:space="preserve">The Queen Elizabeth </w:t>
      </w:r>
      <w:r w:rsidR="00327B2B">
        <w:t>Centre</w:t>
      </w:r>
    </w:p>
    <w:p w14:paraId="40A4383D" w14:textId="4F508086" w:rsidR="0027761E" w:rsidRPr="005D1CD4" w:rsidRDefault="008B7206" w:rsidP="00D62B66">
      <w:pPr>
        <w:pStyle w:val="Bullet1"/>
      </w:pPr>
      <w:r>
        <w:t>Twe</w:t>
      </w:r>
      <w:r w:rsidR="00A72298">
        <w:t xml:space="preserve">ddle </w:t>
      </w:r>
      <w:r w:rsidR="004F7F1F">
        <w:t xml:space="preserve">Child and </w:t>
      </w:r>
      <w:r w:rsidR="008F0356">
        <w:t xml:space="preserve">Family Health </w:t>
      </w:r>
      <w:r w:rsidR="00D62B66">
        <w:t>Services</w:t>
      </w:r>
    </w:p>
    <w:p w14:paraId="1893343B" w14:textId="77777777" w:rsidR="00B4134B" w:rsidRDefault="00B4134B" w:rsidP="008037D1">
      <w:pPr>
        <w:pStyle w:val="Heading2notinTOC"/>
      </w:pPr>
      <w:r>
        <w:t>Tier 3b</w:t>
      </w:r>
    </w:p>
    <w:p w14:paraId="5901D59C" w14:textId="4D678CD9" w:rsidR="00B4134B" w:rsidRPr="00FE0226" w:rsidRDefault="00B4134B" w:rsidP="008037D1">
      <w:pPr>
        <w:pStyle w:val="Bullet1"/>
        <w:rPr>
          <w:lang w:val="en-US"/>
        </w:rPr>
      </w:pPr>
      <w:proofErr w:type="spellStart"/>
      <w:r w:rsidRPr="00FE0226">
        <w:rPr>
          <w:lang w:val="en-US"/>
        </w:rPr>
        <w:t>HealthShare</w:t>
      </w:r>
      <w:proofErr w:type="spellEnd"/>
      <w:r w:rsidRPr="00FE0226">
        <w:rPr>
          <w:lang w:val="en-US"/>
        </w:rPr>
        <w:t xml:space="preserve"> Victoria (Health Purchasing Victoria)</w:t>
      </w:r>
    </w:p>
    <w:p w14:paraId="2851662F" w14:textId="77777777" w:rsidR="00B4134B" w:rsidRDefault="00B4134B" w:rsidP="008037D1">
      <w:pPr>
        <w:pStyle w:val="Heading2notinTOC"/>
      </w:pPr>
      <w:r>
        <w:t xml:space="preserve">Tier </w:t>
      </w:r>
      <w:r w:rsidRPr="004C7C1D">
        <w:t>4</w:t>
      </w:r>
    </w:p>
    <w:p w14:paraId="366C9F7C" w14:textId="79219D5D" w:rsidR="00B4134B" w:rsidRDefault="00B4134B" w:rsidP="00A9430F">
      <w:pPr>
        <w:pStyle w:val="Body"/>
        <w:rPr>
          <w:b/>
          <w:bCs/>
        </w:rPr>
      </w:pPr>
      <w:r w:rsidRPr="004C7C1D">
        <w:rPr>
          <w:b/>
          <w:bCs/>
        </w:rPr>
        <w:t>All other entities</w:t>
      </w:r>
      <w:r>
        <w:rPr>
          <w:b/>
          <w:bCs/>
        </w:rPr>
        <w:t xml:space="preserve"> (agencies and offices):</w:t>
      </w:r>
    </w:p>
    <w:p w14:paraId="002F1B69" w14:textId="77777777" w:rsidR="00B4134B" w:rsidRDefault="00B4134B" w:rsidP="008037D1">
      <w:pPr>
        <w:pStyle w:val="Bullet1"/>
      </w:pPr>
      <w:r w:rsidRPr="004C7C1D">
        <w:t>Mental Health Tribunal</w:t>
      </w:r>
    </w:p>
    <w:p w14:paraId="1ABD9E98" w14:textId="3E0E1BBF" w:rsidR="00B4134B" w:rsidRPr="004C7C1D" w:rsidRDefault="00B4134B" w:rsidP="008037D1">
      <w:pPr>
        <w:pStyle w:val="Bullet1"/>
      </w:pPr>
      <w:r w:rsidRPr="004C7C1D">
        <w:t>VicHealth</w:t>
      </w:r>
      <w:r w:rsidR="00A74CDD">
        <w:t xml:space="preserve"> (</w:t>
      </w:r>
      <w:r w:rsidR="002635D2">
        <w:t xml:space="preserve">Victorian </w:t>
      </w:r>
      <w:r w:rsidR="0077234C">
        <w:t xml:space="preserve">Health </w:t>
      </w:r>
      <w:r w:rsidR="00DF3D48">
        <w:t xml:space="preserve">Promotion </w:t>
      </w:r>
      <w:r w:rsidR="00CC30CD">
        <w:t>Foundation</w:t>
      </w:r>
      <w:r w:rsidR="00A74CDD">
        <w:t>)</w:t>
      </w:r>
    </w:p>
    <w:p w14:paraId="7779E27D" w14:textId="77777777" w:rsidR="00B4134B" w:rsidRDefault="00B4134B" w:rsidP="008037D1">
      <w:pPr>
        <w:pStyle w:val="Bullet1"/>
      </w:pPr>
      <w:r w:rsidRPr="004C7C1D">
        <w:t>Victorian Assisted Reproductive Treatment Authority</w:t>
      </w:r>
    </w:p>
    <w:p w14:paraId="6BF11DEE" w14:textId="15DDFB3D" w:rsidR="007C5F86" w:rsidRPr="004C7C1D" w:rsidRDefault="007C5F86" w:rsidP="008037D1">
      <w:pPr>
        <w:pStyle w:val="Bullet1"/>
      </w:pPr>
      <w:r>
        <w:t xml:space="preserve">Victorian </w:t>
      </w:r>
      <w:r w:rsidR="001C13A4">
        <w:t xml:space="preserve">Collaborative </w:t>
      </w:r>
      <w:r w:rsidR="0084680D">
        <w:t xml:space="preserve">Centre for </w:t>
      </w:r>
      <w:r w:rsidR="004511E7">
        <w:t xml:space="preserve">Mental Health </w:t>
      </w:r>
      <w:r w:rsidR="00EE3C32">
        <w:t>and Wellbeing</w:t>
      </w:r>
    </w:p>
    <w:p w14:paraId="19F2DB3C" w14:textId="3459F326" w:rsidR="00B4134B" w:rsidRPr="004C7C1D" w:rsidRDefault="00B4134B" w:rsidP="008037D1">
      <w:pPr>
        <w:pStyle w:val="Bullet1"/>
      </w:pPr>
      <w:r w:rsidRPr="004C7C1D">
        <w:t>Victorian Pharmacy Authority</w:t>
      </w:r>
    </w:p>
    <w:p w14:paraId="0BE50C17" w14:textId="0A3122D4" w:rsidR="00941E17" w:rsidRDefault="00941E17" w:rsidP="008037D1">
      <w:pPr>
        <w:pStyle w:val="Body"/>
      </w:pPr>
      <w:r>
        <w:rPr>
          <w:bCs/>
        </w:rPr>
        <w:br w:type="page"/>
      </w:r>
    </w:p>
    <w:p w14:paraId="172F1ECF" w14:textId="1CC70331" w:rsidR="00BD09C7" w:rsidRPr="00BD09C7" w:rsidRDefault="00BD09C7" w:rsidP="00BD09C7">
      <w:pPr>
        <w:pStyle w:val="Heading1"/>
      </w:pPr>
      <w:bookmarkStart w:id="86" w:name="_Ref137633581"/>
      <w:bookmarkStart w:id="87" w:name="_Toc138239133"/>
      <w:r w:rsidRPr="00BD09C7">
        <w:t xml:space="preserve">Appendix </w:t>
      </w:r>
      <w:r w:rsidR="00F73409">
        <w:t>C</w:t>
      </w:r>
      <w:r w:rsidRPr="00BD09C7">
        <w:t>: Organisational boundary</w:t>
      </w:r>
      <w:bookmarkEnd w:id="86"/>
      <w:bookmarkEnd w:id="87"/>
    </w:p>
    <w:p w14:paraId="05BDA379" w14:textId="77777777" w:rsidR="00BD09C7" w:rsidRPr="00BD09C7" w:rsidRDefault="00BD09C7" w:rsidP="008037D1">
      <w:pPr>
        <w:pStyle w:val="Heading2notinTOC"/>
      </w:pPr>
      <w:r w:rsidRPr="00BD09C7">
        <w:t xml:space="preserve">Operational </w:t>
      </w:r>
      <w:r w:rsidRPr="00B4134B">
        <w:t>control</w:t>
      </w:r>
    </w:p>
    <w:p w14:paraId="5074CADE" w14:textId="52785157" w:rsidR="00A0239A" w:rsidRDefault="00A0239A" w:rsidP="007C3689">
      <w:pPr>
        <w:pStyle w:val="Body"/>
        <w:rPr>
          <w:bCs/>
        </w:rPr>
      </w:pPr>
      <w:r w:rsidRPr="00EF38C9">
        <w:rPr>
          <w:bCs/>
        </w:rPr>
        <w:t>Operational control refers to an organisation</w:t>
      </w:r>
      <w:r>
        <w:rPr>
          <w:bCs/>
        </w:rPr>
        <w:t>’s</w:t>
      </w:r>
      <w:r w:rsidRPr="00EF38C9">
        <w:rPr>
          <w:bCs/>
        </w:rPr>
        <w:t xml:space="preserve"> authority to introduce and </w:t>
      </w:r>
      <w:r>
        <w:rPr>
          <w:bCs/>
        </w:rPr>
        <w:t>put in place</w:t>
      </w:r>
      <w:r w:rsidRPr="00EF38C9">
        <w:rPr>
          <w:bCs/>
        </w:rPr>
        <w:t xml:space="preserve"> operational policies.</w:t>
      </w:r>
    </w:p>
    <w:p w14:paraId="3E7107EB" w14:textId="08942720" w:rsidR="00A0239A" w:rsidRDefault="00EF38C9" w:rsidP="007C3689">
      <w:pPr>
        <w:pStyle w:val="Body"/>
        <w:rPr>
          <w:b/>
        </w:rPr>
      </w:pPr>
      <w:r w:rsidRPr="00EF38C9">
        <w:t>Entities should use the</w:t>
      </w:r>
      <w:r w:rsidR="00A0239A" w:rsidRPr="00A0239A">
        <w:t xml:space="preserve"> </w:t>
      </w:r>
      <w:r w:rsidR="00A0239A" w:rsidRPr="008037D1">
        <w:rPr>
          <w:i/>
          <w:iCs/>
        </w:rPr>
        <w:t xml:space="preserve">GHG Protocol </w:t>
      </w:r>
      <w:r w:rsidR="00384BB4" w:rsidRPr="008037D1">
        <w:rPr>
          <w:i/>
          <w:iCs/>
        </w:rPr>
        <w:t>corporate standard</w:t>
      </w:r>
      <w:r w:rsidR="00A0239A">
        <w:t>’</w:t>
      </w:r>
      <w:r w:rsidR="00A0239A" w:rsidRPr="009D4165">
        <w:t>s</w:t>
      </w:r>
      <w:r w:rsidRPr="00EF38C9">
        <w:t xml:space="preserve"> operational control approach </w:t>
      </w:r>
      <w:r w:rsidR="00A0239A">
        <w:t xml:space="preserve">to </w:t>
      </w:r>
      <w:r w:rsidRPr="00EF38C9">
        <w:t>determin</w:t>
      </w:r>
      <w:r w:rsidR="00A0239A">
        <w:t>e</w:t>
      </w:r>
      <w:r w:rsidRPr="00EF38C9">
        <w:t xml:space="preserve"> the</w:t>
      </w:r>
      <w:r w:rsidR="00384BB4">
        <w:t>ir</w:t>
      </w:r>
      <w:r w:rsidRPr="00EF38C9">
        <w:t xml:space="preserve"> reporting boundary.</w:t>
      </w:r>
      <w:r w:rsidR="00882810">
        <w:t xml:space="preserve"> This is available on </w:t>
      </w:r>
      <w:hyperlink r:id="rId27" w:history="1">
        <w:r w:rsidR="00882810" w:rsidRPr="00B406AA">
          <w:rPr>
            <w:rStyle w:val="Hyperlink"/>
          </w:rPr>
          <w:t>GHG Protocol’s Corporate standard web page</w:t>
        </w:r>
      </w:hyperlink>
      <w:r w:rsidR="00882810">
        <w:t xml:space="preserve"> </w:t>
      </w:r>
      <w:r w:rsidR="00882810" w:rsidRPr="00EF38C9">
        <w:t>&lt;</w:t>
      </w:r>
      <w:r w:rsidR="00882810">
        <w:t>https://</w:t>
      </w:r>
      <w:r w:rsidR="00882810" w:rsidRPr="00EF38C9">
        <w:t>www.ghgprotocol.org/corporate-standard&gt;</w:t>
      </w:r>
    </w:p>
    <w:p w14:paraId="1B02AD30" w14:textId="2DD08EA1" w:rsidR="00A0239A" w:rsidRDefault="00EF38C9" w:rsidP="007C3689">
      <w:pPr>
        <w:pStyle w:val="Body"/>
        <w:rPr>
          <w:bCs/>
        </w:rPr>
      </w:pPr>
      <w:r w:rsidRPr="00EF38C9">
        <w:rPr>
          <w:bCs/>
        </w:rPr>
        <w:t xml:space="preserve">Facilities, networks or other assets that the Victorian Government </w:t>
      </w:r>
      <w:r w:rsidR="00B406AA">
        <w:rPr>
          <w:bCs/>
        </w:rPr>
        <w:t xml:space="preserve">owns </w:t>
      </w:r>
      <w:r w:rsidRPr="00EF38C9">
        <w:rPr>
          <w:bCs/>
        </w:rPr>
        <w:t xml:space="preserve">but </w:t>
      </w:r>
      <w:r w:rsidR="00B406AA">
        <w:rPr>
          <w:bCs/>
        </w:rPr>
        <w:t xml:space="preserve">a private </w:t>
      </w:r>
      <w:r w:rsidR="00F776B0">
        <w:rPr>
          <w:bCs/>
        </w:rPr>
        <w:t>organisation</w:t>
      </w:r>
      <w:r w:rsidR="00B406AA">
        <w:rPr>
          <w:bCs/>
        </w:rPr>
        <w:t xml:space="preserve"> manages</w:t>
      </w:r>
      <w:r w:rsidR="00B406AA" w:rsidRPr="00EF38C9">
        <w:rPr>
          <w:bCs/>
        </w:rPr>
        <w:t xml:space="preserve"> </w:t>
      </w:r>
      <w:r w:rsidRPr="00EF38C9">
        <w:rPr>
          <w:bCs/>
        </w:rPr>
        <w:t xml:space="preserve">under franchise, lease or other public-private partnership are considered part of Victorian Government operations </w:t>
      </w:r>
      <w:r w:rsidR="00B406AA">
        <w:rPr>
          <w:bCs/>
        </w:rPr>
        <w:t>if</w:t>
      </w:r>
      <w:r w:rsidRPr="00EF38C9">
        <w:rPr>
          <w:bCs/>
        </w:rPr>
        <w:t xml:space="preserve"> the environmental impacts of those assets are within the operational control of the </w:t>
      </w:r>
      <w:r w:rsidRPr="00F776B0">
        <w:rPr>
          <w:bCs/>
        </w:rPr>
        <w:t>entity</w:t>
      </w:r>
      <w:r w:rsidRPr="00EF38C9">
        <w:rPr>
          <w:bCs/>
        </w:rPr>
        <w:t>.</w:t>
      </w:r>
    </w:p>
    <w:p w14:paraId="3819E4BA" w14:textId="0D58C060" w:rsidR="006D39CE" w:rsidRDefault="00EF38C9" w:rsidP="007C3689">
      <w:pPr>
        <w:pStyle w:val="Body"/>
      </w:pPr>
      <w:r w:rsidRPr="00EF38C9">
        <w:t>Standard commercial leases do not generally meet the criteria for operational control</w:t>
      </w:r>
      <w:r w:rsidR="00A0239A">
        <w:t>.</w:t>
      </w:r>
      <w:r w:rsidRPr="00EF38C9">
        <w:t xml:space="preserve"> </w:t>
      </w:r>
      <w:r w:rsidR="00A0239A">
        <w:t>H</w:t>
      </w:r>
      <w:r w:rsidRPr="00EF38C9">
        <w:t>ealth services that lease space to</w:t>
      </w:r>
      <w:r w:rsidR="006D39CE">
        <w:t xml:space="preserve"> commercial businesses (such as</w:t>
      </w:r>
      <w:r w:rsidRPr="00EF38C9">
        <w:t xml:space="preserve"> retail or food businesses</w:t>
      </w:r>
      <w:r w:rsidR="006D39CE">
        <w:t>)</w:t>
      </w:r>
      <w:r w:rsidRPr="00EF38C9">
        <w:t xml:space="preserve"> should not include these in their organisational boundary. </w:t>
      </w:r>
    </w:p>
    <w:p w14:paraId="35D897EE" w14:textId="5FC69F58" w:rsidR="006472CD" w:rsidRDefault="006D39CE" w:rsidP="007C3689">
      <w:pPr>
        <w:pStyle w:val="Body"/>
      </w:pPr>
      <w:r>
        <w:t>S</w:t>
      </w:r>
      <w:r w:rsidR="00EF38C9" w:rsidRPr="00EF38C9">
        <w:t>tandard contracts for services</w:t>
      </w:r>
      <w:r w:rsidR="00A0239A">
        <w:t xml:space="preserve"> (</w:t>
      </w:r>
      <w:r w:rsidR="00EF38C9" w:rsidRPr="00EF38C9">
        <w:t>such as grounds maintenance</w:t>
      </w:r>
      <w:r w:rsidR="00A0239A">
        <w:t>)</w:t>
      </w:r>
      <w:r w:rsidR="00EF38C9" w:rsidRPr="00EF38C9">
        <w:t xml:space="preserve"> do not meet the criteria for operational control. </w:t>
      </w:r>
    </w:p>
    <w:p w14:paraId="4FD1CDCE" w14:textId="59E82B47" w:rsidR="00EF38C9" w:rsidRPr="006472CD" w:rsidRDefault="006D39CE" w:rsidP="00EF38C9">
      <w:pPr>
        <w:pStyle w:val="Body"/>
      </w:pPr>
      <w:r>
        <w:t xml:space="preserve">Include </w:t>
      </w:r>
      <w:r w:rsidR="007C3689" w:rsidRPr="007C3689">
        <w:t xml:space="preserve">the operations of </w:t>
      </w:r>
      <w:r w:rsidR="007C3689">
        <w:t>a</w:t>
      </w:r>
      <w:r w:rsidR="007C3689" w:rsidRPr="007C3689">
        <w:t xml:space="preserve"> car park </w:t>
      </w:r>
      <w:r>
        <w:t xml:space="preserve">if they </w:t>
      </w:r>
      <w:r w:rsidR="007C3689" w:rsidRPr="007C3689">
        <w:t xml:space="preserve">are in operational </w:t>
      </w:r>
      <w:r w:rsidR="00923027" w:rsidRPr="007C3689">
        <w:t>control</w:t>
      </w:r>
      <w:r w:rsidR="007C3689" w:rsidRPr="007C3689">
        <w:t xml:space="preserve">. If </w:t>
      </w:r>
      <w:r w:rsidR="006F4894">
        <w:t>a car park is a</w:t>
      </w:r>
      <w:r w:rsidR="007C3689" w:rsidRPr="007C3689">
        <w:t xml:space="preserve"> simple lease to a private </w:t>
      </w:r>
      <w:r w:rsidR="006F4894" w:rsidRPr="007C3689">
        <w:t>operator,</w:t>
      </w:r>
      <w:r w:rsidR="007C3689" w:rsidRPr="007C3689">
        <w:t xml:space="preserve"> then </w:t>
      </w:r>
      <w:r w:rsidR="006F4894">
        <w:t xml:space="preserve">it </w:t>
      </w:r>
      <w:r w:rsidR="007C3689" w:rsidRPr="007C3689">
        <w:t>would not fall within operational control.</w:t>
      </w:r>
    </w:p>
    <w:p w14:paraId="3ED13054" w14:textId="77777777" w:rsidR="00EF38C9" w:rsidRPr="00EF38C9" w:rsidRDefault="00EF38C9" w:rsidP="00EF38C9">
      <w:pPr>
        <w:pStyle w:val="Body"/>
      </w:pPr>
      <w:r w:rsidRPr="00EF38C9">
        <w:t>Examples of circumstances that may meet the criteria for operational control:</w:t>
      </w:r>
    </w:p>
    <w:p w14:paraId="7A37CDD8" w14:textId="0FF9343B" w:rsidR="00EF38C9" w:rsidRPr="00EF38C9" w:rsidRDefault="006D39CE" w:rsidP="008037D1">
      <w:pPr>
        <w:pStyle w:val="Bullet1"/>
      </w:pPr>
      <w:r>
        <w:t xml:space="preserve">a </w:t>
      </w:r>
      <w:r w:rsidR="00EF38C9" w:rsidRPr="00EF38C9">
        <w:t xml:space="preserve">facility operator </w:t>
      </w:r>
      <w:r>
        <w:t>must</w:t>
      </w:r>
      <w:r w:rsidR="00EF38C9" w:rsidRPr="00EF38C9">
        <w:t xml:space="preserve"> use </w:t>
      </w:r>
      <w:r w:rsidRPr="00EF38C9">
        <w:t xml:space="preserve">state purchase contracts </w:t>
      </w:r>
      <w:r>
        <w:t xml:space="preserve">to </w:t>
      </w:r>
      <w:r w:rsidR="00EF38C9" w:rsidRPr="00EF38C9">
        <w:t xml:space="preserve">purchase energy or has energy procurement arrangements </w:t>
      </w:r>
      <w:r w:rsidRPr="00EF38C9">
        <w:t xml:space="preserve">specified </w:t>
      </w:r>
      <w:r w:rsidR="00EF38C9" w:rsidRPr="00EF38C9">
        <w:t>contractually</w:t>
      </w:r>
    </w:p>
    <w:p w14:paraId="49E0D4AC" w14:textId="7CC8F398" w:rsidR="00EF38C9" w:rsidRPr="00EF38C9" w:rsidRDefault="006D39CE" w:rsidP="008037D1">
      <w:pPr>
        <w:pStyle w:val="Bullet1"/>
      </w:pPr>
      <w:r>
        <w:t>a</w:t>
      </w:r>
      <w:r w:rsidRPr="00EF38C9">
        <w:t xml:space="preserve"> </w:t>
      </w:r>
      <w:r w:rsidR="00EF38C9" w:rsidRPr="00EF38C9">
        <w:t xml:space="preserve">facility operator </w:t>
      </w:r>
      <w:r>
        <w:t>must purchase</w:t>
      </w:r>
      <w:r w:rsidRPr="00EF38C9">
        <w:t xml:space="preserve"> </w:t>
      </w:r>
      <w:r w:rsidR="00EF38C9" w:rsidRPr="00EF38C9">
        <w:t>offsets or renewable energy certificates for a portion or all of their energy use</w:t>
      </w:r>
    </w:p>
    <w:p w14:paraId="514BB867" w14:textId="44361B9C" w:rsidR="00EF38C9" w:rsidRPr="00EF38C9" w:rsidRDefault="00EF38C9" w:rsidP="008037D1">
      <w:pPr>
        <w:pStyle w:val="Bullet1"/>
      </w:pPr>
      <w:r w:rsidRPr="00EF38C9">
        <w:t xml:space="preserve">emissions reduction targets or other environmental policies are </w:t>
      </w:r>
      <w:r w:rsidR="006D39CE" w:rsidRPr="00EF38C9">
        <w:t xml:space="preserve">specified </w:t>
      </w:r>
      <w:r w:rsidRPr="00EF38C9">
        <w:t>contractually</w:t>
      </w:r>
    </w:p>
    <w:p w14:paraId="60EE332A" w14:textId="2A77992E" w:rsidR="00EF38C9" w:rsidRPr="00EF38C9" w:rsidRDefault="00EF38C9" w:rsidP="008037D1">
      <w:pPr>
        <w:pStyle w:val="Bullet1"/>
      </w:pPr>
      <w:r w:rsidRPr="00EF38C9">
        <w:t>the operations of the facility are largely determined by the entity</w:t>
      </w:r>
      <w:r w:rsidR="00B406AA">
        <w:t xml:space="preserve"> – </w:t>
      </w:r>
      <w:r w:rsidRPr="00EF38C9">
        <w:t>for example</w:t>
      </w:r>
      <w:r w:rsidR="00B406AA">
        <w:t>,</w:t>
      </w:r>
      <w:r w:rsidRPr="00EF38C9">
        <w:t xml:space="preserve"> </w:t>
      </w:r>
      <w:r w:rsidR="006D39CE">
        <w:t xml:space="preserve">an entity or other </w:t>
      </w:r>
      <w:r w:rsidR="006D39CE" w:rsidRPr="00EF38C9">
        <w:t xml:space="preserve">Victorian Government body </w:t>
      </w:r>
      <w:r w:rsidRPr="00EF38C9">
        <w:t>specif</w:t>
      </w:r>
      <w:r w:rsidR="00B406AA">
        <w:t>ies</w:t>
      </w:r>
      <w:r w:rsidRPr="00EF38C9">
        <w:t xml:space="preserve"> timetables, routes and other operational policies.</w:t>
      </w:r>
    </w:p>
    <w:p w14:paraId="07B115A4" w14:textId="07DEE654" w:rsidR="00B406AA" w:rsidRDefault="00B406AA" w:rsidP="00B4134B">
      <w:pPr>
        <w:pStyle w:val="Bodyafterbullets"/>
      </w:pPr>
      <w:r>
        <w:rPr>
          <w:bCs/>
        </w:rPr>
        <w:t xml:space="preserve">In some </w:t>
      </w:r>
      <w:r w:rsidR="00EF38C9" w:rsidRPr="00EF38C9">
        <w:t>circumstances</w:t>
      </w:r>
      <w:r>
        <w:t>,</w:t>
      </w:r>
      <w:r w:rsidR="00EF38C9" w:rsidRPr="00EF38C9">
        <w:t xml:space="preserve"> the organisational boundary should be expand</w:t>
      </w:r>
      <w:r>
        <w:t>ed</w:t>
      </w:r>
      <w:r w:rsidR="00EF38C9" w:rsidRPr="00EF38C9">
        <w:t xml:space="preserve"> beyond a strict interpretation of operational control.</w:t>
      </w:r>
    </w:p>
    <w:p w14:paraId="2D2DB3BE" w14:textId="16C301BE" w:rsidR="00EF38C9" w:rsidRDefault="00EF38C9" w:rsidP="00B4134B">
      <w:pPr>
        <w:pStyle w:val="Bodyafterbullets"/>
      </w:pPr>
      <w:r w:rsidRPr="00EF38C9">
        <w:t xml:space="preserve">Health services should provide appropriate contextual information on inclusions and exclusions to </w:t>
      </w:r>
      <w:r w:rsidR="00B406AA">
        <w:t>make clear</w:t>
      </w:r>
      <w:r w:rsidRPr="00EF38C9">
        <w:t xml:space="preserve"> what the environmental data covers.</w:t>
      </w:r>
    </w:p>
    <w:p w14:paraId="5ABCB070" w14:textId="13C9AD5B" w:rsidR="00F776B0" w:rsidRDefault="00F776B0">
      <w:pPr>
        <w:spacing w:after="0" w:line="240" w:lineRule="auto"/>
        <w:rPr>
          <w:rFonts w:eastAsia="Times"/>
        </w:rPr>
      </w:pPr>
      <w:r>
        <w:br w:type="page"/>
      </w:r>
    </w:p>
    <w:p w14:paraId="610DA593" w14:textId="77777777" w:rsidR="00BD09C7" w:rsidRPr="00BD09C7" w:rsidRDefault="00BD09C7" w:rsidP="008037D1">
      <w:pPr>
        <w:pStyle w:val="Heading2notinTOC"/>
      </w:pPr>
      <w:r w:rsidRPr="00BD09C7">
        <w:t>Machinery of government changes</w:t>
      </w:r>
    </w:p>
    <w:p w14:paraId="2DEF0361" w14:textId="771F69CB" w:rsidR="00384BB4" w:rsidRDefault="006D39CE" w:rsidP="00BD09C7">
      <w:pPr>
        <w:pStyle w:val="Body"/>
        <w:rPr>
          <w:lang w:val="en-US"/>
        </w:rPr>
      </w:pPr>
      <w:r>
        <w:rPr>
          <w:lang w:val="en-US"/>
        </w:rPr>
        <w:t>When</w:t>
      </w:r>
      <w:r w:rsidR="00384BB4" w:rsidRPr="00BD09C7">
        <w:rPr>
          <w:lang w:val="en-US"/>
        </w:rPr>
        <w:t xml:space="preserve"> </w:t>
      </w:r>
      <w:r w:rsidR="00BD09C7" w:rsidRPr="00BD09C7">
        <w:rPr>
          <w:lang w:val="en-US"/>
        </w:rPr>
        <w:t xml:space="preserve">an entity loses or gains staff or facilities </w:t>
      </w:r>
      <w:r w:rsidR="00384BB4" w:rsidRPr="00BD09C7">
        <w:rPr>
          <w:lang w:val="en-US"/>
        </w:rPr>
        <w:t>because of</w:t>
      </w:r>
      <w:r w:rsidR="00BD09C7" w:rsidRPr="00BD09C7">
        <w:rPr>
          <w:lang w:val="en-US"/>
        </w:rPr>
        <w:t xml:space="preserve"> machinery of government changes, the entity responsible for the staff or facilities on June 30 of the reporting year</w:t>
      </w:r>
      <w:r w:rsidR="00384BB4">
        <w:rPr>
          <w:lang w:val="en-US"/>
        </w:rPr>
        <w:t>:</w:t>
      </w:r>
    </w:p>
    <w:p w14:paraId="4BB64014" w14:textId="3DE93D74" w:rsidR="00384BB4" w:rsidRDefault="00BD09C7" w:rsidP="00384BB4">
      <w:pPr>
        <w:pStyle w:val="Bullet1"/>
        <w:rPr>
          <w:lang w:val="en-US"/>
        </w:rPr>
      </w:pPr>
      <w:r w:rsidRPr="00BD09C7">
        <w:rPr>
          <w:lang w:val="en-US"/>
        </w:rPr>
        <w:t>report</w:t>
      </w:r>
      <w:r w:rsidR="00384BB4">
        <w:rPr>
          <w:lang w:val="en-US"/>
        </w:rPr>
        <w:t>s</w:t>
      </w:r>
      <w:r w:rsidRPr="00BD09C7">
        <w:rPr>
          <w:lang w:val="en-US"/>
        </w:rPr>
        <w:t xml:space="preserve"> all data </w:t>
      </w:r>
      <w:r w:rsidR="00384BB4">
        <w:rPr>
          <w:lang w:val="en-US"/>
        </w:rPr>
        <w:t>about</w:t>
      </w:r>
      <w:r w:rsidRPr="00BD09C7">
        <w:rPr>
          <w:lang w:val="en-US"/>
        </w:rPr>
        <w:t xml:space="preserve"> the staff and facilities</w:t>
      </w:r>
    </w:p>
    <w:p w14:paraId="6395D72F" w14:textId="41C6921E" w:rsidR="00BD09C7" w:rsidRPr="00BD09C7" w:rsidRDefault="00384BB4" w:rsidP="008037D1">
      <w:pPr>
        <w:pStyle w:val="Bullet1"/>
        <w:rPr>
          <w:lang w:val="en-US"/>
        </w:rPr>
      </w:pPr>
      <w:r>
        <w:rPr>
          <w:lang w:val="en-US"/>
        </w:rPr>
        <w:t>includes</w:t>
      </w:r>
      <w:r w:rsidRPr="00BD09C7">
        <w:rPr>
          <w:lang w:val="en-US"/>
        </w:rPr>
        <w:t xml:space="preserve"> </w:t>
      </w:r>
      <w:r w:rsidR="00BD09C7" w:rsidRPr="00BD09C7">
        <w:rPr>
          <w:lang w:val="en-US"/>
        </w:rPr>
        <w:t>an appropriate note in the context section of the relevant indicators.</w:t>
      </w:r>
    </w:p>
    <w:p w14:paraId="18D63623" w14:textId="49B2C1BE" w:rsidR="00B406AA" w:rsidRPr="00B406AA" w:rsidRDefault="00BD09C7" w:rsidP="00041EAB">
      <w:pPr>
        <w:pStyle w:val="Body"/>
        <w:spacing w:before="120"/>
        <w:rPr>
          <w:lang w:val="en-US"/>
        </w:rPr>
      </w:pPr>
      <w:r w:rsidRPr="00BD09C7">
        <w:rPr>
          <w:lang w:val="en-US"/>
        </w:rPr>
        <w:t xml:space="preserve">The entity that lost staff or facilities </w:t>
      </w:r>
      <w:r w:rsidR="006D39CE">
        <w:rPr>
          <w:lang w:val="en-US"/>
        </w:rPr>
        <w:t>shares</w:t>
      </w:r>
      <w:r w:rsidRPr="00BD09C7">
        <w:rPr>
          <w:lang w:val="en-US"/>
        </w:rPr>
        <w:t xml:space="preserve"> </w:t>
      </w:r>
      <w:r w:rsidR="006D39CE">
        <w:rPr>
          <w:lang w:val="en-US"/>
        </w:rPr>
        <w:t>any</w:t>
      </w:r>
      <w:r w:rsidR="006D39CE" w:rsidRPr="00BD09C7">
        <w:rPr>
          <w:lang w:val="en-US"/>
        </w:rPr>
        <w:t xml:space="preserve"> </w:t>
      </w:r>
      <w:r w:rsidRPr="00BD09C7">
        <w:rPr>
          <w:lang w:val="en-US"/>
        </w:rPr>
        <w:t xml:space="preserve">relevant data available to the </w:t>
      </w:r>
      <w:r w:rsidR="006D39CE">
        <w:rPr>
          <w:lang w:val="en-US"/>
        </w:rPr>
        <w:t xml:space="preserve">reporting </w:t>
      </w:r>
      <w:r w:rsidRPr="00BD09C7">
        <w:rPr>
          <w:lang w:val="en-US"/>
        </w:rPr>
        <w:t>entity.</w:t>
      </w:r>
    </w:p>
    <w:p w14:paraId="2317B257" w14:textId="718673B2" w:rsidR="00BD09C7" w:rsidRPr="00BD09C7" w:rsidRDefault="00BD09C7" w:rsidP="008037D1">
      <w:pPr>
        <w:pStyle w:val="Bodyafterbullets"/>
        <w:rPr>
          <w:lang w:val="en-US"/>
        </w:rPr>
      </w:pPr>
      <w:r w:rsidRPr="00BD09C7">
        <w:rPr>
          <w:lang w:val="en-US"/>
        </w:rPr>
        <w:t xml:space="preserve">The corporate services areas of both entities should work </w:t>
      </w:r>
      <w:r w:rsidR="006D39CE">
        <w:rPr>
          <w:lang w:val="en-US"/>
        </w:rPr>
        <w:t>together</w:t>
      </w:r>
      <w:r w:rsidR="006D39CE" w:rsidRPr="00BD09C7">
        <w:rPr>
          <w:lang w:val="en-US"/>
        </w:rPr>
        <w:t xml:space="preserve"> </w:t>
      </w:r>
      <w:r w:rsidRPr="00BD09C7">
        <w:rPr>
          <w:lang w:val="en-US"/>
        </w:rPr>
        <w:t>to prepare and provide the relevant data.</w:t>
      </w:r>
    </w:p>
    <w:p w14:paraId="21736BAC" w14:textId="77777777" w:rsidR="00BD09C7" w:rsidRPr="00BD09C7" w:rsidRDefault="00BD09C7" w:rsidP="008037D1">
      <w:pPr>
        <w:pStyle w:val="Heading2notinTOC"/>
        <w:rPr>
          <w:bCs/>
          <w:iCs/>
        </w:rPr>
      </w:pPr>
      <w:r w:rsidRPr="00BD09C7">
        <w:rPr>
          <w:bCs/>
          <w:iCs/>
        </w:rPr>
        <w:t>Tips</w:t>
      </w:r>
    </w:p>
    <w:p w14:paraId="63F6603A" w14:textId="2BE6B28A" w:rsidR="00BD09C7" w:rsidRPr="00BD09C7" w:rsidRDefault="00BD09C7" w:rsidP="00BD09C7">
      <w:pPr>
        <w:pStyle w:val="Body"/>
      </w:pPr>
      <w:r w:rsidRPr="008037D1">
        <w:rPr>
          <w:b/>
          <w:bCs/>
        </w:rPr>
        <w:t>Review your entity’s organisational structure</w:t>
      </w:r>
      <w:r w:rsidRPr="00BD09C7">
        <w:t>:</w:t>
      </w:r>
    </w:p>
    <w:p w14:paraId="7DD67A7E" w14:textId="4C5C1174" w:rsidR="00BD09C7" w:rsidRPr="00BD09C7" w:rsidRDefault="00BD09C7" w:rsidP="008037D1">
      <w:pPr>
        <w:pStyle w:val="Bullet1"/>
      </w:pPr>
      <w:r w:rsidRPr="00BD09C7">
        <w:t>Do I fully understand how my entity is structured and what facilities and assets it operates?</w:t>
      </w:r>
    </w:p>
    <w:p w14:paraId="2826236B" w14:textId="1FDFC578" w:rsidR="00BD09C7" w:rsidRPr="00BD09C7" w:rsidRDefault="00BD09C7" w:rsidP="008037D1">
      <w:pPr>
        <w:pStyle w:val="Bullet1"/>
      </w:pPr>
      <w:r w:rsidRPr="00BD09C7">
        <w:rPr>
          <w:lang w:val="en-US"/>
        </w:rPr>
        <w:t>Have I identified all relevant facilities and potential emission sources?</w:t>
      </w:r>
    </w:p>
    <w:p w14:paraId="5A298C39" w14:textId="77777777" w:rsidR="00BD09C7" w:rsidRDefault="00BD09C7" w:rsidP="008037D1">
      <w:pPr>
        <w:pStyle w:val="Bullet1"/>
        <w:rPr>
          <w:lang w:val="en-US"/>
        </w:rPr>
      </w:pPr>
      <w:r w:rsidRPr="00BD09C7">
        <w:rPr>
          <w:lang w:val="en-US"/>
        </w:rPr>
        <w:t>Have I considered assets or facilities that I lease and included base building services as appropriate?</w:t>
      </w:r>
    </w:p>
    <w:p w14:paraId="06F54412" w14:textId="010E72F7" w:rsidR="00BD09C7" w:rsidRPr="00BD09C7" w:rsidRDefault="00BD09C7" w:rsidP="008037D1">
      <w:pPr>
        <w:pStyle w:val="Bodyafterbullets"/>
      </w:pPr>
      <w:r w:rsidRPr="008037D1">
        <w:rPr>
          <w:b/>
          <w:bCs/>
        </w:rPr>
        <w:t>Consider consolidated entities</w:t>
      </w:r>
      <w:r w:rsidRPr="00BD09C7">
        <w:t>:</w:t>
      </w:r>
    </w:p>
    <w:p w14:paraId="006D07A9" w14:textId="77777777" w:rsidR="00BD09C7" w:rsidRDefault="00BD09C7" w:rsidP="008037D1">
      <w:pPr>
        <w:pStyle w:val="Bullet1"/>
        <w:rPr>
          <w:lang w:val="en-US"/>
        </w:rPr>
      </w:pPr>
      <w:r w:rsidRPr="00BD09C7">
        <w:rPr>
          <w:lang w:val="en-US"/>
        </w:rPr>
        <w:t>Has my entity agreed to report environmental data of another public entity?</w:t>
      </w:r>
    </w:p>
    <w:p w14:paraId="71CB97DD" w14:textId="0349EBE9" w:rsidR="00BD09C7" w:rsidRPr="00BD09C7" w:rsidRDefault="00BD09C7" w:rsidP="008037D1">
      <w:pPr>
        <w:pStyle w:val="Bodyafterbullets"/>
      </w:pPr>
      <w:r w:rsidRPr="008037D1">
        <w:rPr>
          <w:b/>
          <w:bCs/>
        </w:rPr>
        <w:t>Consider public</w:t>
      </w:r>
      <w:r w:rsidR="00F776B0">
        <w:rPr>
          <w:b/>
          <w:bCs/>
        </w:rPr>
        <w:t>-</w:t>
      </w:r>
      <w:r w:rsidRPr="008037D1">
        <w:rPr>
          <w:b/>
          <w:bCs/>
        </w:rPr>
        <w:t>private partnerships (PPPs)</w:t>
      </w:r>
      <w:r w:rsidRPr="00BD09C7">
        <w:t>:</w:t>
      </w:r>
    </w:p>
    <w:p w14:paraId="2A8DDF57" w14:textId="3A17C152" w:rsidR="00BD09C7" w:rsidRPr="00BD09C7" w:rsidRDefault="00BD09C7" w:rsidP="008037D1">
      <w:pPr>
        <w:pStyle w:val="Bullet1"/>
      </w:pPr>
      <w:r w:rsidRPr="00BD09C7">
        <w:rPr>
          <w:lang w:val="en-US"/>
        </w:rPr>
        <w:t>Does my entity manage any PPP agreements?</w:t>
      </w:r>
    </w:p>
    <w:p w14:paraId="1FBDDAC2" w14:textId="77777777" w:rsidR="00BD09C7" w:rsidRPr="00BD09C7" w:rsidRDefault="00BD09C7" w:rsidP="008037D1">
      <w:pPr>
        <w:pStyle w:val="Bullet1"/>
      </w:pPr>
      <w:r w:rsidRPr="00BD09C7">
        <w:rPr>
          <w:lang w:val="en-US"/>
        </w:rPr>
        <w:t>Do the assets operated under these agreements fall within the definition of operational control?</w:t>
      </w:r>
    </w:p>
    <w:p w14:paraId="5A823AE9" w14:textId="6C50CC2D" w:rsidR="00BD09C7" w:rsidRDefault="00BD09C7" w:rsidP="008037D1">
      <w:pPr>
        <w:pStyle w:val="Bullet1"/>
      </w:pPr>
      <w:r w:rsidRPr="00BD09C7">
        <w:t>Annual review of your organisation’s boundary is good practice.</w:t>
      </w:r>
    </w:p>
    <w:p w14:paraId="1F8D1BE6" w14:textId="01E496A4" w:rsidR="00941E17" w:rsidRDefault="00941E17" w:rsidP="008037D1">
      <w:pPr>
        <w:pStyle w:val="Body"/>
      </w:pPr>
      <w:r>
        <w:br w:type="page"/>
      </w:r>
    </w:p>
    <w:p w14:paraId="10D24400" w14:textId="19A83E7D" w:rsidR="00923E6F" w:rsidRDefault="00923E6F" w:rsidP="00923E6F">
      <w:pPr>
        <w:pStyle w:val="Heading1"/>
      </w:pPr>
      <w:bookmarkStart w:id="88" w:name="_Appendix_D:_Normalising"/>
      <w:bookmarkStart w:id="89" w:name="_Ref137635162"/>
      <w:bookmarkStart w:id="90" w:name="_Ref137653391"/>
      <w:bookmarkStart w:id="91" w:name="_Toc138239134"/>
      <w:bookmarkEnd w:id="88"/>
      <w:r w:rsidRPr="00923E6F">
        <w:rPr>
          <w:rFonts w:eastAsia="Times"/>
        </w:rPr>
        <w:t xml:space="preserve">Appendix </w:t>
      </w:r>
      <w:r w:rsidR="00F73409">
        <w:t>D</w:t>
      </w:r>
      <w:r w:rsidRPr="00923E6F">
        <w:rPr>
          <w:rFonts w:eastAsia="Times"/>
        </w:rPr>
        <w:t xml:space="preserve">: </w:t>
      </w:r>
      <w:r>
        <w:t>Normalising factors</w:t>
      </w:r>
      <w:r w:rsidR="00382D6E">
        <w:t xml:space="preserve"> and benchmarks</w:t>
      </w:r>
      <w:bookmarkEnd w:id="89"/>
      <w:bookmarkEnd w:id="90"/>
      <w:bookmarkEnd w:id="91"/>
    </w:p>
    <w:p w14:paraId="0C853862" w14:textId="3BDFBE98" w:rsidR="00882810" w:rsidRPr="00882810" w:rsidRDefault="00882810" w:rsidP="008037D1">
      <w:pPr>
        <w:pStyle w:val="Body"/>
      </w:pPr>
      <w:r w:rsidRPr="00853F27">
        <w:t xml:space="preserve">Normalising factors </w:t>
      </w:r>
      <w:r>
        <w:t>are</w:t>
      </w:r>
      <w:r w:rsidRPr="00853F27">
        <w:t xml:space="preserve"> indicators used to compare (or benchmark) environmental performance over time and allow for any changes in service delivery.</w:t>
      </w:r>
    </w:p>
    <w:p w14:paraId="0EEC9DE8" w14:textId="2B7E8B34" w:rsidR="00882810" w:rsidRDefault="00882810" w:rsidP="008037D1">
      <w:pPr>
        <w:pStyle w:val="Tablecaption"/>
      </w:pPr>
      <w:r>
        <w:t xml:space="preserve">Table </w:t>
      </w:r>
      <w:fldSimple w:instr=" SEQ Table \* ARABIC ">
        <w:r w:rsidR="00C52465">
          <w:rPr>
            <w:noProof/>
          </w:rPr>
          <w:t>10</w:t>
        </w:r>
      </w:fldSimple>
      <w:r>
        <w:t>: Normalising factors</w:t>
      </w:r>
    </w:p>
    <w:tbl>
      <w:tblPr>
        <w:tblStyle w:val="Bluetable"/>
        <w:tblW w:w="0" w:type="auto"/>
        <w:tblInd w:w="5" w:type="dxa"/>
        <w:tblLook w:val="04A0" w:firstRow="1" w:lastRow="0" w:firstColumn="1" w:lastColumn="0" w:noHBand="0" w:noVBand="1"/>
      </w:tblPr>
      <w:tblGrid>
        <w:gridCol w:w="2263"/>
        <w:gridCol w:w="4536"/>
        <w:gridCol w:w="2489"/>
      </w:tblGrid>
      <w:tr w:rsidR="00BF6CB5" w:rsidRPr="007849E3" w14:paraId="24A17C3F" w14:textId="77777777" w:rsidTr="008037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4E3FA75D" w14:textId="0513A890" w:rsidR="00BF6CB5" w:rsidRPr="008037D1" w:rsidRDefault="00BF6CB5" w:rsidP="008037D1">
            <w:pPr>
              <w:pStyle w:val="Tablecolhead"/>
              <w:rPr>
                <w:lang w:val="en-AU"/>
              </w:rPr>
            </w:pPr>
            <w:r w:rsidRPr="008037D1">
              <w:rPr>
                <w:rFonts w:eastAsia="Times New Roman"/>
              </w:rPr>
              <w:t xml:space="preserve">Indicator </w:t>
            </w:r>
          </w:p>
        </w:tc>
        <w:tc>
          <w:tcPr>
            <w:tcW w:w="4536" w:type="dxa"/>
          </w:tcPr>
          <w:p w14:paraId="7B0474D8" w14:textId="58B901CA" w:rsidR="00BF6CB5" w:rsidRPr="008037D1" w:rsidRDefault="00BF6CB5"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Inclusion</w:t>
            </w:r>
          </w:p>
        </w:tc>
        <w:tc>
          <w:tcPr>
            <w:tcW w:w="2489" w:type="dxa"/>
          </w:tcPr>
          <w:p w14:paraId="75038F68" w14:textId="33FDC1AA" w:rsidR="00BF6CB5" w:rsidRPr="008037D1" w:rsidRDefault="00BF6CB5"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037D1">
              <w:rPr>
                <w:rFonts w:eastAsia="Times New Roman"/>
              </w:rPr>
              <w:t>Relevant environmental impacts</w:t>
            </w:r>
          </w:p>
        </w:tc>
      </w:tr>
      <w:tr w:rsidR="00956D92" w:rsidRPr="007849E3" w14:paraId="324C171B"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25E85F" w14:textId="30972A0D" w:rsidR="00956D92" w:rsidRPr="008037D1" w:rsidRDefault="00956D92" w:rsidP="008037D1">
            <w:pPr>
              <w:pStyle w:val="Tabletext"/>
              <w:rPr>
                <w:lang w:val="en-AU"/>
              </w:rPr>
            </w:pPr>
            <w:r w:rsidRPr="008037D1">
              <w:rPr>
                <w:rFonts w:eastAsia="Times New Roman"/>
              </w:rPr>
              <w:t>FTE</w:t>
            </w:r>
          </w:p>
        </w:tc>
        <w:tc>
          <w:tcPr>
            <w:tcW w:w="4536" w:type="dxa"/>
          </w:tcPr>
          <w:p w14:paraId="1B32BF0C" w14:textId="58E0915A" w:rsidR="00F776B0" w:rsidRDefault="00956D92" w:rsidP="00A37B0A">
            <w:pPr>
              <w:pStyle w:val="Tabletext"/>
              <w:cnfStyle w:val="000000100000" w:firstRow="0" w:lastRow="0" w:firstColumn="0" w:lastColumn="0" w:oddVBand="0" w:evenVBand="0" w:oddHBand="1" w:evenHBand="0" w:firstRowFirstColumn="0" w:firstRowLastColumn="0" w:lastRowFirstColumn="0" w:lastRowLastColumn="0"/>
              <w:rPr>
                <w:lang w:val="en-AU"/>
              </w:rPr>
            </w:pPr>
            <w:r w:rsidRPr="007849E3">
              <w:t xml:space="preserve">The number of full-time hours worked by all employees for a period of 38 hours </w:t>
            </w:r>
            <w:r w:rsidR="00F776B0">
              <w:rPr>
                <w:lang w:val="en-AU"/>
              </w:rPr>
              <w:t>each</w:t>
            </w:r>
            <w:r w:rsidR="00F776B0" w:rsidRPr="007849E3">
              <w:t xml:space="preserve"> </w:t>
            </w:r>
            <w:r w:rsidRPr="007849E3">
              <w:t>week</w:t>
            </w:r>
            <w:r w:rsidR="00A37B0A">
              <w:rPr>
                <w:lang w:val="en-AU"/>
              </w:rPr>
              <w:t xml:space="preserve"> r</w:t>
            </w:r>
            <w:proofErr w:type="spellStart"/>
            <w:r w:rsidR="00F776B0" w:rsidRPr="007849E3">
              <w:t>eported</w:t>
            </w:r>
            <w:proofErr w:type="spellEnd"/>
            <w:r w:rsidR="00F776B0" w:rsidRPr="007849E3">
              <w:t xml:space="preserve"> </w:t>
            </w:r>
            <w:r w:rsidRPr="007849E3">
              <w:t xml:space="preserve">through </w:t>
            </w:r>
            <w:r w:rsidR="00A37B0A">
              <w:rPr>
                <w:lang w:val="en-AU"/>
              </w:rPr>
              <w:t xml:space="preserve">each entity’s </w:t>
            </w:r>
            <w:r w:rsidRPr="007849E3">
              <w:t>human resource</w:t>
            </w:r>
            <w:r w:rsidR="00A37B0A">
              <w:rPr>
                <w:lang w:val="en-AU"/>
              </w:rPr>
              <w:t>s</w:t>
            </w:r>
            <w:r w:rsidRPr="007849E3">
              <w:t xml:space="preserve"> </w:t>
            </w:r>
            <w:r w:rsidR="00A37B0A">
              <w:rPr>
                <w:lang w:val="en-AU"/>
              </w:rPr>
              <w:t>area</w:t>
            </w:r>
            <w:r w:rsidR="00A37B0A" w:rsidRPr="007849E3">
              <w:t xml:space="preserve"> </w:t>
            </w:r>
            <w:r w:rsidRPr="007849E3">
              <w:t xml:space="preserve">for the final pay period </w:t>
            </w:r>
            <w:r w:rsidR="00A37B0A">
              <w:rPr>
                <w:lang w:val="en-AU"/>
              </w:rPr>
              <w:t>of</w:t>
            </w:r>
            <w:r w:rsidR="00A37B0A" w:rsidRPr="007849E3">
              <w:t xml:space="preserve"> </w:t>
            </w:r>
            <w:r w:rsidRPr="007849E3">
              <w:t>the reporting period.</w:t>
            </w:r>
          </w:p>
          <w:p w14:paraId="7977718C" w14:textId="3D8DCB36" w:rsidR="00956D92" w:rsidRPr="008037D1" w:rsidRDefault="00956D92"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Part-time employees are counted based on their proportion of full-time hours worked</w:t>
            </w:r>
            <w:r w:rsidR="00F776B0">
              <w:rPr>
                <w:lang w:val="en-AU"/>
              </w:rPr>
              <w:t>.</w:t>
            </w:r>
            <w:r w:rsidRPr="008037D1">
              <w:rPr>
                <w:rFonts w:eastAsia="Times New Roman"/>
              </w:rPr>
              <w:t xml:space="preserve"> </w:t>
            </w:r>
            <w:r w:rsidR="00F776B0">
              <w:rPr>
                <w:lang w:val="en-AU"/>
              </w:rPr>
              <w:t>For example,</w:t>
            </w:r>
            <w:r w:rsidRPr="008037D1">
              <w:rPr>
                <w:rFonts w:eastAsia="Times New Roman"/>
              </w:rPr>
              <w:t xml:space="preserve"> an employee working 50% of full</w:t>
            </w:r>
            <w:r w:rsidR="00F776B0">
              <w:rPr>
                <w:lang w:val="en-AU"/>
              </w:rPr>
              <w:noBreakHyphen/>
            </w:r>
            <w:r w:rsidRPr="008037D1">
              <w:rPr>
                <w:rFonts w:eastAsia="Times New Roman"/>
              </w:rPr>
              <w:t>time hours is 0.5 FTE.</w:t>
            </w:r>
          </w:p>
          <w:p w14:paraId="67504758" w14:textId="05A7CAB2" w:rsidR="00956D92" w:rsidRPr="008037D1" w:rsidRDefault="00F776B0"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If </w:t>
            </w:r>
            <w:r w:rsidR="00956D92" w:rsidRPr="008037D1">
              <w:rPr>
                <w:rFonts w:eastAsia="Times New Roman"/>
              </w:rPr>
              <w:t>multiple entities occupy a location, resource usage (such as electricity, natural gas or metered water) can be apportioned based on the proportion of the building occupied or headcount (FTE).</w:t>
            </w:r>
          </w:p>
        </w:tc>
        <w:tc>
          <w:tcPr>
            <w:tcW w:w="2489" w:type="dxa"/>
          </w:tcPr>
          <w:p w14:paraId="1524B632" w14:textId="66E9511B" w:rsidR="007233CF" w:rsidRPr="008037D1" w:rsidRDefault="007233CF"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For office-based entities (not applicable to hospitals):</w:t>
            </w:r>
          </w:p>
          <w:p w14:paraId="307DA07D" w14:textId="5B0E55BF" w:rsidR="00956D92" w:rsidRPr="008037D1" w:rsidRDefault="00F776B0"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F776B0">
              <w:rPr>
                <w:lang w:val="en-AU"/>
              </w:rPr>
              <w:t>energy</w:t>
            </w:r>
          </w:p>
          <w:p w14:paraId="26B2C097" w14:textId="21E714AC" w:rsidR="00956D92" w:rsidRPr="008037D1" w:rsidRDefault="00F776B0"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F776B0">
              <w:rPr>
                <w:lang w:val="en-AU"/>
              </w:rPr>
              <w:t>water</w:t>
            </w:r>
          </w:p>
          <w:p w14:paraId="0DCDFC13" w14:textId="54540105" w:rsidR="00956D92" w:rsidRPr="008037D1" w:rsidRDefault="00F776B0"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F776B0">
              <w:rPr>
                <w:lang w:val="en-AU"/>
              </w:rPr>
              <w:t>w</w:t>
            </w:r>
            <w:proofErr w:type="spellStart"/>
            <w:r w:rsidR="00956D92" w:rsidRPr="008037D1">
              <w:rPr>
                <w:rFonts w:eastAsia="Times New Roman"/>
              </w:rPr>
              <w:t>aste</w:t>
            </w:r>
            <w:proofErr w:type="spellEnd"/>
          </w:p>
        </w:tc>
      </w:tr>
      <w:tr w:rsidR="00BF6CB5" w:rsidRPr="007849E3" w14:paraId="604FD3E7"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285347" w14:textId="651AD740" w:rsidR="00BF6CB5" w:rsidRPr="008037D1" w:rsidRDefault="00180372" w:rsidP="008037D1">
            <w:pPr>
              <w:pStyle w:val="Tabletext"/>
              <w:rPr>
                <w:lang w:val="en-AU"/>
              </w:rPr>
            </w:pPr>
            <w:r w:rsidRPr="008037D1">
              <w:rPr>
                <w:rFonts w:eastAsia="Times New Roman"/>
              </w:rPr>
              <w:t>Floor area</w:t>
            </w:r>
          </w:p>
        </w:tc>
        <w:tc>
          <w:tcPr>
            <w:tcW w:w="4536" w:type="dxa"/>
          </w:tcPr>
          <w:p w14:paraId="400FB531" w14:textId="5F41EA87" w:rsidR="00BF6CB5" w:rsidRPr="008037D1" w:rsidRDefault="00134D49"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 xml:space="preserve">Square </w:t>
            </w:r>
            <w:proofErr w:type="spellStart"/>
            <w:r w:rsidRPr="008037D1">
              <w:rPr>
                <w:rFonts w:eastAsia="Times New Roman"/>
              </w:rPr>
              <w:t>metres</w:t>
            </w:r>
            <w:proofErr w:type="spellEnd"/>
            <w:r w:rsidR="00A018FF" w:rsidRPr="008037D1">
              <w:rPr>
                <w:rFonts w:eastAsia="Times New Roman"/>
              </w:rPr>
              <w:t xml:space="preserve"> (m</w:t>
            </w:r>
            <w:r w:rsidR="00860C51" w:rsidRPr="008037D1">
              <w:rPr>
                <w:rFonts w:eastAsia="Times New Roman"/>
                <w:vertAlign w:val="superscript"/>
              </w:rPr>
              <w:t>2</w:t>
            </w:r>
            <w:r w:rsidR="00860C51" w:rsidRPr="008037D1">
              <w:rPr>
                <w:rFonts w:eastAsia="Times New Roman"/>
              </w:rPr>
              <w:t>)</w:t>
            </w:r>
            <w:r w:rsidRPr="008037D1">
              <w:rPr>
                <w:rFonts w:eastAsia="Times New Roman"/>
              </w:rPr>
              <w:t xml:space="preserve"> of floor space </w:t>
            </w:r>
          </w:p>
        </w:tc>
        <w:tc>
          <w:tcPr>
            <w:tcW w:w="2489" w:type="dxa"/>
          </w:tcPr>
          <w:p w14:paraId="0DDF8469" w14:textId="1117D22D" w:rsidR="00134D49" w:rsidRPr="008037D1" w:rsidRDefault="00134D49"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Energy</w:t>
            </w:r>
          </w:p>
          <w:p w14:paraId="10338FF7" w14:textId="59E6D513" w:rsidR="00134D49" w:rsidRPr="008037D1" w:rsidRDefault="00134D49"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Water</w:t>
            </w:r>
          </w:p>
          <w:p w14:paraId="35A6EFF1" w14:textId="52E7584E" w:rsidR="00BF6CB5" w:rsidRPr="008037D1" w:rsidRDefault="00134D49"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Greenhouse gas emissions</w:t>
            </w:r>
          </w:p>
        </w:tc>
      </w:tr>
      <w:tr w:rsidR="00BF6CB5" w:rsidRPr="007849E3" w14:paraId="04319E34"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813F93" w14:textId="078913BF" w:rsidR="00BF6CB5" w:rsidRPr="008037D1" w:rsidRDefault="001E151A" w:rsidP="008037D1">
            <w:pPr>
              <w:pStyle w:val="Tabletext"/>
              <w:rPr>
                <w:lang w:val="en-AU"/>
              </w:rPr>
            </w:pPr>
            <w:r w:rsidRPr="008037D1">
              <w:rPr>
                <w:rFonts w:eastAsia="Times New Roman"/>
              </w:rPr>
              <w:t xml:space="preserve">In-patient </w:t>
            </w:r>
            <w:r w:rsidR="000E6978" w:rsidRPr="008037D1">
              <w:rPr>
                <w:rFonts w:eastAsia="Times New Roman"/>
              </w:rPr>
              <w:t>b</w:t>
            </w:r>
            <w:r w:rsidR="00180372" w:rsidRPr="008037D1">
              <w:rPr>
                <w:rFonts w:eastAsia="Times New Roman"/>
              </w:rPr>
              <w:t>ed days</w:t>
            </w:r>
            <w:r w:rsidR="000E6978" w:rsidRPr="008037D1">
              <w:rPr>
                <w:rFonts w:eastAsia="Times New Roman"/>
              </w:rPr>
              <w:t xml:space="preserve"> </w:t>
            </w:r>
            <w:r w:rsidR="00B4134B" w:rsidRPr="008037D1">
              <w:rPr>
                <w:rFonts w:eastAsia="Times New Roman"/>
              </w:rPr>
              <w:t>or</w:t>
            </w:r>
            <w:r w:rsidR="000E6978" w:rsidRPr="008037D1">
              <w:rPr>
                <w:rFonts w:eastAsia="Times New Roman"/>
              </w:rPr>
              <w:t xml:space="preserve"> </w:t>
            </w:r>
            <w:r w:rsidR="00B4291D" w:rsidRPr="008037D1">
              <w:rPr>
                <w:rFonts w:eastAsia="Times New Roman"/>
              </w:rPr>
              <w:t>o</w:t>
            </w:r>
            <w:r w:rsidR="000E6978" w:rsidRPr="008037D1">
              <w:rPr>
                <w:rFonts w:eastAsia="Times New Roman"/>
              </w:rPr>
              <w:t>ccupied be</w:t>
            </w:r>
            <w:r w:rsidR="00F529FF" w:rsidRPr="008037D1">
              <w:rPr>
                <w:rFonts w:eastAsia="Times New Roman"/>
              </w:rPr>
              <w:t>d</w:t>
            </w:r>
            <w:r w:rsidR="000E6978" w:rsidRPr="008037D1">
              <w:rPr>
                <w:rFonts w:eastAsia="Times New Roman"/>
              </w:rPr>
              <w:t xml:space="preserve"> days</w:t>
            </w:r>
            <w:r w:rsidR="00A37B0A">
              <w:rPr>
                <w:lang w:val="en-AU"/>
              </w:rPr>
              <w:t xml:space="preserve"> (OBD)</w:t>
            </w:r>
          </w:p>
        </w:tc>
        <w:tc>
          <w:tcPr>
            <w:tcW w:w="4536" w:type="dxa"/>
          </w:tcPr>
          <w:p w14:paraId="0670D182" w14:textId="4B6F0040" w:rsidR="00AA4CFA" w:rsidRPr="008037D1" w:rsidRDefault="00AA4CFA"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The number of in-patient bed days for the reporting period reported through the Victorian Admitted Episodes Dataset (VAED).</w:t>
            </w:r>
          </w:p>
        </w:tc>
        <w:tc>
          <w:tcPr>
            <w:tcW w:w="2489" w:type="dxa"/>
          </w:tcPr>
          <w:p w14:paraId="47339862" w14:textId="30C731B2" w:rsidR="00AA4CFA" w:rsidRPr="008037D1" w:rsidRDefault="00AA4CFA"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Energy</w:t>
            </w:r>
          </w:p>
          <w:p w14:paraId="72D56AB5" w14:textId="64CA530D" w:rsidR="00AA4CFA" w:rsidRPr="008037D1" w:rsidRDefault="00AA4CFA"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Water</w:t>
            </w:r>
          </w:p>
          <w:p w14:paraId="417B5E32" w14:textId="77777777" w:rsidR="00AA4CFA" w:rsidRPr="008037D1" w:rsidRDefault="00AA4CFA"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Greenhouse gas emissions</w:t>
            </w:r>
          </w:p>
          <w:p w14:paraId="3122194E" w14:textId="3D53589D" w:rsidR="00BF6CB5" w:rsidRPr="008037D1" w:rsidRDefault="00AA4CFA"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Waste</w:t>
            </w:r>
          </w:p>
        </w:tc>
      </w:tr>
      <w:tr w:rsidR="00BF6CB5" w:rsidRPr="007849E3" w14:paraId="61D76DA3"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E8EF4B2" w14:textId="65102507" w:rsidR="00BF6CB5" w:rsidRPr="008037D1" w:rsidRDefault="00180372" w:rsidP="008037D1">
            <w:pPr>
              <w:pStyle w:val="Tabletext"/>
              <w:rPr>
                <w:lang w:val="en-AU"/>
              </w:rPr>
            </w:pPr>
            <w:r w:rsidRPr="008037D1">
              <w:rPr>
                <w:rFonts w:eastAsia="Times New Roman"/>
              </w:rPr>
              <w:t>Separations</w:t>
            </w:r>
          </w:p>
        </w:tc>
        <w:tc>
          <w:tcPr>
            <w:tcW w:w="4536" w:type="dxa"/>
          </w:tcPr>
          <w:p w14:paraId="4D4E5FA0" w14:textId="14EEDED1" w:rsidR="00BF6CB5" w:rsidRPr="008037D1" w:rsidRDefault="00230273"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The number separations for the reporting period reported through VAED</w:t>
            </w:r>
            <w:r w:rsidR="002C511D" w:rsidRPr="008037D1">
              <w:rPr>
                <w:rFonts w:eastAsia="Times New Roman"/>
              </w:rPr>
              <w:t>.</w:t>
            </w:r>
          </w:p>
        </w:tc>
        <w:tc>
          <w:tcPr>
            <w:tcW w:w="2489" w:type="dxa"/>
          </w:tcPr>
          <w:p w14:paraId="4203CDD5" w14:textId="2AE6C3E8" w:rsidR="00230273" w:rsidRPr="008037D1" w:rsidRDefault="00230273"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Energy</w:t>
            </w:r>
          </w:p>
          <w:p w14:paraId="3789A965" w14:textId="71F655CC" w:rsidR="00230273" w:rsidRPr="008037D1" w:rsidRDefault="00230273"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Water</w:t>
            </w:r>
          </w:p>
          <w:p w14:paraId="52B76CD8" w14:textId="26FC4902" w:rsidR="00BF6CB5" w:rsidRPr="008037D1" w:rsidRDefault="00230273" w:rsidP="008037D1">
            <w:pPr>
              <w:pStyle w:val="Tablebullet1"/>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Greenhouse gas emissions</w:t>
            </w:r>
          </w:p>
        </w:tc>
      </w:tr>
      <w:tr w:rsidR="00BF6CB5" w:rsidRPr="007849E3" w14:paraId="7C7B2C5A"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095F7E2" w14:textId="53E70845" w:rsidR="00BF6CB5" w:rsidRPr="008037D1" w:rsidRDefault="00134D49" w:rsidP="008037D1">
            <w:pPr>
              <w:pStyle w:val="Tabletext"/>
              <w:rPr>
                <w:lang w:val="en-AU"/>
              </w:rPr>
            </w:pPr>
            <w:r w:rsidRPr="008037D1">
              <w:rPr>
                <w:rFonts w:eastAsia="Times New Roman"/>
              </w:rPr>
              <w:t>Per patient treated</w:t>
            </w:r>
          </w:p>
        </w:tc>
        <w:tc>
          <w:tcPr>
            <w:tcW w:w="4536" w:type="dxa"/>
          </w:tcPr>
          <w:p w14:paraId="7A292D52" w14:textId="32F67EEB" w:rsidR="00BF6CB5" w:rsidRPr="008037D1" w:rsidRDefault="002C511D"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The number of in-patient bed days for the reporting period reported through VAED.</w:t>
            </w:r>
          </w:p>
          <w:p w14:paraId="345361A2" w14:textId="37AACB96" w:rsidR="002C511D" w:rsidRPr="008037D1" w:rsidRDefault="002C511D"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The number of emergency presentations over the reporting period reported through the Victorian Emergency Minimum Dataset (VEMD).</w:t>
            </w:r>
          </w:p>
        </w:tc>
        <w:tc>
          <w:tcPr>
            <w:tcW w:w="2489" w:type="dxa"/>
          </w:tcPr>
          <w:p w14:paraId="7DD55718" w14:textId="6A0C38F6" w:rsidR="00BF6CB5" w:rsidRPr="008037D1" w:rsidRDefault="002C511D" w:rsidP="008037D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Waste</w:t>
            </w:r>
          </w:p>
        </w:tc>
      </w:tr>
    </w:tbl>
    <w:p w14:paraId="5E54ABFE" w14:textId="77777777" w:rsidR="007849E3" w:rsidRDefault="007849E3">
      <w:pPr>
        <w:spacing w:after="0" w:line="240" w:lineRule="auto"/>
        <w:rPr>
          <w:rFonts w:eastAsia="Times"/>
        </w:rPr>
      </w:pPr>
      <w:r>
        <w:br w:type="page"/>
      </w:r>
    </w:p>
    <w:p w14:paraId="7913B3F5" w14:textId="5FA25CD3" w:rsidR="00B4134B" w:rsidRPr="00872EF3" w:rsidRDefault="00B4134B" w:rsidP="007849E3">
      <w:pPr>
        <w:pStyle w:val="Heading2notinTOC"/>
        <w:rPr>
          <w:rFonts w:eastAsia="Times"/>
        </w:rPr>
      </w:pPr>
      <w:bookmarkStart w:id="92" w:name="_Toc136959448"/>
      <w:bookmarkStart w:id="93" w:name="_Toc137550757"/>
      <w:bookmarkStart w:id="94" w:name="_Toc136273697"/>
      <w:bookmarkStart w:id="95" w:name="_Toc136331137"/>
      <w:bookmarkStart w:id="96" w:name="_Hlk136013322"/>
      <w:r w:rsidRPr="00872EF3">
        <w:rPr>
          <w:rFonts w:eastAsia="Times"/>
        </w:rPr>
        <w:t>E</w:t>
      </w:r>
      <w:r>
        <w:rPr>
          <w:rFonts w:eastAsia="Times"/>
        </w:rPr>
        <w:t xml:space="preserve">nergy </w:t>
      </w:r>
      <w:r w:rsidR="007849E3">
        <w:rPr>
          <w:rFonts w:eastAsia="Times"/>
        </w:rPr>
        <w:t>n</w:t>
      </w:r>
      <w:r>
        <w:rPr>
          <w:rFonts w:eastAsia="Times"/>
        </w:rPr>
        <w:t>ormaliser</w:t>
      </w:r>
    </w:p>
    <w:p w14:paraId="03EBA675" w14:textId="6D8F9536" w:rsidR="00B4134B" w:rsidRPr="00872EF3" w:rsidRDefault="00B4134B" w:rsidP="008037D1">
      <w:pPr>
        <w:pStyle w:val="Bullet1"/>
      </w:pPr>
      <w:r w:rsidRPr="00872EF3">
        <w:t>Energy used per separation (gigajoules/separation)</w:t>
      </w:r>
    </w:p>
    <w:p w14:paraId="025D9213" w14:textId="6CF8C962" w:rsidR="00B4134B" w:rsidRPr="00872EF3" w:rsidRDefault="00B4134B" w:rsidP="008037D1">
      <w:pPr>
        <w:pStyle w:val="Bullet1"/>
      </w:pPr>
      <w:r w:rsidRPr="00872EF3">
        <w:t>Energy used per bed day (gigajoules/bed day)</w:t>
      </w:r>
    </w:p>
    <w:p w14:paraId="5AB9A5E3" w14:textId="77777777" w:rsidR="00B4134B" w:rsidRPr="00872EF3" w:rsidRDefault="00B4134B" w:rsidP="008037D1">
      <w:pPr>
        <w:pStyle w:val="Bullet1"/>
      </w:pPr>
      <w:r w:rsidRPr="00872EF3">
        <w:t>Energy used per unit of floor space (gigajoules/m</w:t>
      </w:r>
      <w:r w:rsidRPr="00872EF3">
        <w:rPr>
          <w:vertAlign w:val="superscript"/>
        </w:rPr>
        <w:t>2</w:t>
      </w:r>
      <w:r w:rsidRPr="00872EF3">
        <w:t>)</w:t>
      </w:r>
    </w:p>
    <w:p w14:paraId="1F1DDE25" w14:textId="77777777" w:rsidR="00B4134B" w:rsidRPr="00872EF3" w:rsidRDefault="00B4134B" w:rsidP="008037D1">
      <w:pPr>
        <w:pStyle w:val="Bullet1"/>
      </w:pPr>
      <w:r w:rsidRPr="00872EF3">
        <w:t>Greenhouse gas emissions per separation (tonnes CO</w:t>
      </w:r>
      <w:r w:rsidRPr="00872EF3">
        <w:rPr>
          <w:vertAlign w:val="subscript"/>
        </w:rPr>
        <w:t>2</w:t>
      </w:r>
      <w:r w:rsidRPr="00872EF3">
        <w:t>-e/separation)</w:t>
      </w:r>
    </w:p>
    <w:p w14:paraId="57DFF267" w14:textId="77777777" w:rsidR="00B4134B" w:rsidRPr="00872EF3" w:rsidRDefault="00B4134B" w:rsidP="008037D1">
      <w:pPr>
        <w:pStyle w:val="Bullet1"/>
      </w:pPr>
      <w:r w:rsidRPr="00872EF3">
        <w:t>Greenhouse gas emissions per bed day (tonnes CO</w:t>
      </w:r>
      <w:r w:rsidRPr="00872EF3">
        <w:rPr>
          <w:vertAlign w:val="subscript"/>
        </w:rPr>
        <w:t>2</w:t>
      </w:r>
      <w:r w:rsidRPr="00872EF3">
        <w:t>-e/bed day)</w:t>
      </w:r>
    </w:p>
    <w:p w14:paraId="456345C4" w14:textId="77777777" w:rsidR="00B4134B" w:rsidRPr="00872EF3" w:rsidRDefault="00B4134B" w:rsidP="008037D1">
      <w:pPr>
        <w:pStyle w:val="Bullet1"/>
      </w:pPr>
      <w:r w:rsidRPr="00872EF3">
        <w:t>Greenhouse gas emissions per unit of floor space (tonnes CO</w:t>
      </w:r>
      <w:r w:rsidRPr="00872EF3">
        <w:rPr>
          <w:vertAlign w:val="subscript"/>
        </w:rPr>
        <w:t>2</w:t>
      </w:r>
      <w:r w:rsidRPr="00872EF3">
        <w:t>-e/m</w:t>
      </w:r>
      <w:r w:rsidRPr="00872EF3">
        <w:rPr>
          <w:vertAlign w:val="superscript"/>
        </w:rPr>
        <w:t>2</w:t>
      </w:r>
      <w:r w:rsidRPr="00872EF3">
        <w:t>)</w:t>
      </w:r>
    </w:p>
    <w:p w14:paraId="0C783CB5" w14:textId="77777777" w:rsidR="00B4134B" w:rsidRPr="00872EF3" w:rsidRDefault="00B4134B" w:rsidP="008037D1">
      <w:pPr>
        <w:pStyle w:val="Heading2notinTOC"/>
        <w:rPr>
          <w:rFonts w:eastAsia="Times"/>
        </w:rPr>
      </w:pPr>
      <w:r w:rsidRPr="00872EF3">
        <w:rPr>
          <w:rFonts w:eastAsia="Times"/>
        </w:rPr>
        <w:t>Water use</w:t>
      </w:r>
    </w:p>
    <w:p w14:paraId="7BBDB0AF" w14:textId="77777777" w:rsidR="00B4134B" w:rsidRPr="00872EF3" w:rsidRDefault="00B4134B" w:rsidP="008037D1">
      <w:pPr>
        <w:pStyle w:val="Bullet1"/>
      </w:pPr>
      <w:r w:rsidRPr="00872EF3">
        <w:t>Water used per separation (kilolitres/separation)</w:t>
      </w:r>
    </w:p>
    <w:p w14:paraId="37302DF9" w14:textId="77777777" w:rsidR="00B4134B" w:rsidRPr="00872EF3" w:rsidRDefault="00B4134B" w:rsidP="008037D1">
      <w:pPr>
        <w:pStyle w:val="Bullet1"/>
      </w:pPr>
      <w:r w:rsidRPr="00872EF3">
        <w:t>Water used per bed day (kilolitres/bed day)</w:t>
      </w:r>
    </w:p>
    <w:p w14:paraId="4E6081CC" w14:textId="77777777" w:rsidR="00B4134B" w:rsidRPr="00872EF3" w:rsidRDefault="00B4134B" w:rsidP="008037D1">
      <w:pPr>
        <w:pStyle w:val="Bullet1"/>
      </w:pPr>
      <w:r w:rsidRPr="00872EF3">
        <w:t>Water used per unit of floor space (kilolitres/m</w:t>
      </w:r>
      <w:r w:rsidRPr="00872EF3">
        <w:rPr>
          <w:vertAlign w:val="superscript"/>
        </w:rPr>
        <w:t>2</w:t>
      </w:r>
      <w:r w:rsidRPr="00872EF3">
        <w:t>)</w:t>
      </w:r>
    </w:p>
    <w:p w14:paraId="67604EDE" w14:textId="77777777" w:rsidR="00B4134B" w:rsidRPr="00872EF3" w:rsidRDefault="00B4134B" w:rsidP="008037D1">
      <w:pPr>
        <w:pStyle w:val="Heading2notinTOC"/>
        <w:rPr>
          <w:rFonts w:eastAsia="Times"/>
        </w:rPr>
      </w:pPr>
      <w:r w:rsidRPr="00872EF3">
        <w:rPr>
          <w:rFonts w:eastAsia="Times"/>
        </w:rPr>
        <w:t xml:space="preserve">Waste and </w:t>
      </w:r>
      <w:r w:rsidRPr="00B4134B">
        <w:rPr>
          <w:rFonts w:eastAsia="Times"/>
        </w:rPr>
        <w:t>recycling</w:t>
      </w:r>
    </w:p>
    <w:p w14:paraId="74BE79BB" w14:textId="77777777" w:rsidR="00B4134B" w:rsidRPr="00872EF3" w:rsidRDefault="00B4134B" w:rsidP="008037D1">
      <w:pPr>
        <w:pStyle w:val="Bullet1"/>
      </w:pPr>
      <w:r w:rsidRPr="00872EF3">
        <w:t>Waste generated per patient treated (kilograms/PPT)</w:t>
      </w:r>
    </w:p>
    <w:p w14:paraId="4A50E807" w14:textId="553DE227" w:rsidR="00B4134B" w:rsidRPr="00872EF3" w:rsidRDefault="00B4134B" w:rsidP="008037D1">
      <w:pPr>
        <w:pStyle w:val="Bullet1"/>
      </w:pPr>
      <w:r w:rsidRPr="00872EF3">
        <w:t>Recycling rate</w:t>
      </w:r>
      <w:r w:rsidR="007849E3">
        <w:t>:</w:t>
      </w:r>
      <w:r w:rsidRPr="00872EF3">
        <w:t xml:space="preserve"> recycling/</w:t>
      </w:r>
      <w:r w:rsidR="007849E3">
        <w:t>(</w:t>
      </w:r>
      <w:proofErr w:type="spellStart"/>
      <w:r w:rsidRPr="00872EF3">
        <w:t>recycling+landfill</w:t>
      </w:r>
      <w:proofErr w:type="spellEnd"/>
      <w:r w:rsidRPr="00872EF3">
        <w:t>)</w:t>
      </w:r>
      <w:r>
        <w:rPr>
          <w:rStyle w:val="FootnoteReference"/>
        </w:rPr>
        <w:footnoteReference w:id="7"/>
      </w:r>
    </w:p>
    <w:p w14:paraId="6792CC23" w14:textId="77777777" w:rsidR="00B4134B" w:rsidRDefault="00B4134B" w:rsidP="00BA0054">
      <w:pPr>
        <w:pStyle w:val="Heading2notinTOC"/>
        <w:rPr>
          <w:rFonts w:eastAsia="Times"/>
        </w:rPr>
      </w:pPr>
      <w:bookmarkStart w:id="97" w:name="_Toc136273700"/>
      <w:bookmarkStart w:id="98" w:name="_Toc136331140"/>
      <w:bookmarkStart w:id="99" w:name="_Toc136959451"/>
      <w:bookmarkStart w:id="100" w:name="_Toc137550760"/>
      <w:bookmarkEnd w:id="92"/>
      <w:bookmarkEnd w:id="93"/>
      <w:bookmarkEnd w:id="94"/>
      <w:bookmarkEnd w:id="95"/>
      <w:bookmarkEnd w:id="96"/>
      <w:r>
        <w:rPr>
          <w:rFonts w:eastAsia="Times"/>
        </w:rPr>
        <w:t>Benchmarks</w:t>
      </w:r>
    </w:p>
    <w:p w14:paraId="05AE4DBC" w14:textId="77777777" w:rsidR="00B4134B" w:rsidRPr="00DD5491" w:rsidRDefault="00B4134B" w:rsidP="007332EC">
      <w:pPr>
        <w:pStyle w:val="Heading3"/>
        <w:spacing w:before="120"/>
      </w:pPr>
      <w:r w:rsidRPr="00DD5491">
        <w:t xml:space="preserve">Carbon </w:t>
      </w:r>
      <w:r w:rsidRPr="00B4134B">
        <w:t>emissions</w:t>
      </w:r>
    </w:p>
    <w:p w14:paraId="0AE8D1CF" w14:textId="248BC6E8" w:rsidR="00B4134B" w:rsidRDefault="00BD396D" w:rsidP="00BA0054">
      <w:pPr>
        <w:pStyle w:val="Bullet1"/>
      </w:pPr>
      <w:r w:rsidRPr="00E30AE6">
        <w:t>CO</w:t>
      </w:r>
      <w:r w:rsidRPr="00A838BF">
        <w:rPr>
          <w:vertAlign w:val="subscript"/>
        </w:rPr>
        <w:t>2</w:t>
      </w:r>
      <w:r w:rsidR="00B4134B">
        <w:t>e(t) per m2</w:t>
      </w:r>
    </w:p>
    <w:p w14:paraId="20C5A1A2" w14:textId="55913854" w:rsidR="00B4134B" w:rsidRDefault="00BD396D" w:rsidP="00BA0054">
      <w:pPr>
        <w:pStyle w:val="Bullet1"/>
      </w:pPr>
      <w:r w:rsidRPr="00E30AE6">
        <w:t>CO</w:t>
      </w:r>
      <w:r w:rsidRPr="00A838BF">
        <w:rPr>
          <w:vertAlign w:val="subscript"/>
        </w:rPr>
        <w:t>2</w:t>
      </w:r>
      <w:r w:rsidR="00B4134B" w:rsidRPr="00DD5491">
        <w:t xml:space="preserve">e(t) per </w:t>
      </w:r>
      <w:r w:rsidR="00B4134B">
        <w:t>OBD</w:t>
      </w:r>
    </w:p>
    <w:p w14:paraId="58D67680" w14:textId="2A5FCD5E" w:rsidR="00B4134B" w:rsidRPr="00872EF3" w:rsidRDefault="00BD396D" w:rsidP="00BA0054">
      <w:pPr>
        <w:pStyle w:val="Bullet1"/>
      </w:pPr>
      <w:r w:rsidRPr="00E30AE6">
        <w:t>CO</w:t>
      </w:r>
      <w:r w:rsidRPr="00A838BF">
        <w:rPr>
          <w:vertAlign w:val="subscript"/>
        </w:rPr>
        <w:t>2</w:t>
      </w:r>
      <w:r w:rsidR="00B4134B" w:rsidRPr="00DD5491">
        <w:t xml:space="preserve">e(t) per </w:t>
      </w:r>
      <w:r w:rsidR="00B4134B">
        <w:t>Seps</w:t>
      </w:r>
    </w:p>
    <w:p w14:paraId="368D049C" w14:textId="77777777" w:rsidR="00B4134B" w:rsidRPr="00956D92" w:rsidRDefault="00B4134B" w:rsidP="00BA0054">
      <w:pPr>
        <w:pStyle w:val="Heading3"/>
      </w:pPr>
      <w:r w:rsidRPr="00DD5491">
        <w:t>Water use</w:t>
      </w:r>
    </w:p>
    <w:p w14:paraId="5AF6B507" w14:textId="77777777" w:rsidR="00B4134B" w:rsidRDefault="00B4134B" w:rsidP="00BA0054">
      <w:pPr>
        <w:pStyle w:val="Bullet1"/>
      </w:pPr>
      <w:proofErr w:type="spellStart"/>
      <w:r w:rsidRPr="00DD5491">
        <w:t>kL</w:t>
      </w:r>
      <w:proofErr w:type="spellEnd"/>
      <w:r w:rsidRPr="00DD5491">
        <w:t xml:space="preserve"> per m2</w:t>
      </w:r>
    </w:p>
    <w:p w14:paraId="458BBE03" w14:textId="77777777" w:rsidR="00B4134B" w:rsidRDefault="00B4134B" w:rsidP="00BA0054">
      <w:pPr>
        <w:pStyle w:val="Bullet1"/>
      </w:pPr>
      <w:proofErr w:type="spellStart"/>
      <w:r w:rsidRPr="00DD5491">
        <w:t>kL</w:t>
      </w:r>
      <w:proofErr w:type="spellEnd"/>
      <w:r w:rsidRPr="00DD5491">
        <w:t xml:space="preserve"> per </w:t>
      </w:r>
      <w:r>
        <w:t>OBD</w:t>
      </w:r>
    </w:p>
    <w:p w14:paraId="1D054538" w14:textId="77777777" w:rsidR="00B4134B" w:rsidRPr="00872EF3" w:rsidRDefault="00B4134B" w:rsidP="00BA0054">
      <w:pPr>
        <w:pStyle w:val="Bullet1"/>
      </w:pPr>
      <w:proofErr w:type="spellStart"/>
      <w:r w:rsidRPr="00DD5491">
        <w:t>kL</w:t>
      </w:r>
      <w:proofErr w:type="spellEnd"/>
      <w:r w:rsidRPr="00DD5491">
        <w:t xml:space="preserve"> per </w:t>
      </w:r>
      <w:r>
        <w:t>Seps</w:t>
      </w:r>
    </w:p>
    <w:bookmarkEnd w:id="97"/>
    <w:bookmarkEnd w:id="98"/>
    <w:bookmarkEnd w:id="99"/>
    <w:bookmarkEnd w:id="100"/>
    <w:p w14:paraId="7C5EAED7" w14:textId="6AFC7349" w:rsidR="00941E17" w:rsidRDefault="00941E17" w:rsidP="008037D1">
      <w:pPr>
        <w:pStyle w:val="Body"/>
      </w:pPr>
      <w:r>
        <w:br w:type="page"/>
      </w:r>
    </w:p>
    <w:p w14:paraId="6663F504" w14:textId="0D8936D2" w:rsidR="00F332E1" w:rsidRDefault="00F332E1" w:rsidP="00941E17">
      <w:pPr>
        <w:pStyle w:val="Heading1"/>
      </w:pPr>
      <w:bookmarkStart w:id="101" w:name="_Appendix_E:_Medical"/>
      <w:bookmarkStart w:id="102" w:name="_Ref137568733"/>
      <w:bookmarkStart w:id="103" w:name="_Ref137570692"/>
      <w:bookmarkStart w:id="104" w:name="_Ref137570716"/>
      <w:bookmarkStart w:id="105" w:name="_Ref137646378"/>
      <w:bookmarkStart w:id="106" w:name="_Toc138239135"/>
      <w:bookmarkEnd w:id="101"/>
      <w:r w:rsidRPr="005329AF">
        <w:t xml:space="preserve">Appendix </w:t>
      </w:r>
      <w:r w:rsidR="00F73409">
        <w:t>E</w:t>
      </w:r>
      <w:r w:rsidRPr="005329AF">
        <w:t xml:space="preserve">: </w:t>
      </w:r>
      <w:r>
        <w:t>Medical gases and refrigerants</w:t>
      </w:r>
      <w:bookmarkEnd w:id="102"/>
      <w:bookmarkEnd w:id="103"/>
      <w:bookmarkEnd w:id="104"/>
      <w:bookmarkEnd w:id="105"/>
      <w:bookmarkEnd w:id="106"/>
    </w:p>
    <w:p w14:paraId="3A2118E6" w14:textId="6408CEC8" w:rsidR="00A37B0A" w:rsidRDefault="00A86C35" w:rsidP="00A86C35">
      <w:pPr>
        <w:pStyle w:val="Body"/>
      </w:pPr>
      <w:r w:rsidRPr="00A86C35">
        <w:t xml:space="preserve">Hospitals and health services can report </w:t>
      </w:r>
      <w:r w:rsidR="00882810">
        <w:t>S</w:t>
      </w:r>
      <w:r w:rsidRPr="00A86C35">
        <w:t>cope 1 fugitive emissions related to medical and refrigerant gases with a global warming potential (GWP).</w:t>
      </w:r>
      <w:r w:rsidR="00DA083A" w:rsidRPr="00DA083A">
        <w:t xml:space="preserve"> </w:t>
      </w:r>
      <w:r w:rsidR="00DA083A" w:rsidRPr="00A86C35">
        <w:t>GWP is an index used to convert relevant non-carbon dioxide gases to a carbon-dioxide equivalent.</w:t>
      </w:r>
    </w:p>
    <w:p w14:paraId="1DD77014" w14:textId="31BFB472" w:rsidR="00A86C35" w:rsidRPr="00E54BC7" w:rsidRDefault="00A86C35" w:rsidP="00A86C35">
      <w:pPr>
        <w:pStyle w:val="Body"/>
      </w:pPr>
      <w:r w:rsidRPr="00A86C35">
        <w:t>The following gases</w:t>
      </w:r>
      <w:r w:rsidR="00882810">
        <w:t xml:space="preserve"> (</w:t>
      </w:r>
      <w:r w:rsidR="00882810" w:rsidRPr="008037D1">
        <w:rPr>
          <w:b/>
          <w:bCs/>
        </w:rPr>
        <w:fldChar w:fldCharType="begin"/>
      </w:r>
      <w:r w:rsidR="00882810" w:rsidRPr="008037D1">
        <w:rPr>
          <w:b/>
          <w:bCs/>
        </w:rPr>
        <w:instrText xml:space="preserve"> REF _Ref137726102 \h </w:instrText>
      </w:r>
      <w:r w:rsidR="00882810" w:rsidRPr="00882810">
        <w:rPr>
          <w:b/>
          <w:bCs/>
        </w:rPr>
        <w:instrText xml:space="preserve"> \* MERGEFORMAT </w:instrText>
      </w:r>
      <w:r w:rsidR="00882810" w:rsidRPr="008037D1">
        <w:rPr>
          <w:b/>
          <w:bCs/>
        </w:rPr>
      </w:r>
      <w:r w:rsidR="00882810" w:rsidRPr="008037D1">
        <w:rPr>
          <w:b/>
          <w:bCs/>
        </w:rPr>
        <w:fldChar w:fldCharType="separate"/>
      </w:r>
      <w:r w:rsidR="00C52465" w:rsidRPr="008037D1">
        <w:rPr>
          <w:b/>
          <w:bCs/>
        </w:rPr>
        <w:t xml:space="preserve">Table </w:t>
      </w:r>
      <w:r w:rsidR="00C52465" w:rsidRPr="008037D1">
        <w:rPr>
          <w:b/>
          <w:bCs/>
          <w:noProof/>
        </w:rPr>
        <w:t>11</w:t>
      </w:r>
      <w:r w:rsidR="00882810" w:rsidRPr="008037D1">
        <w:rPr>
          <w:b/>
          <w:bCs/>
        </w:rPr>
        <w:fldChar w:fldCharType="end"/>
      </w:r>
      <w:r w:rsidR="00882810">
        <w:t>)</w:t>
      </w:r>
      <w:r w:rsidRPr="00A86C35">
        <w:t xml:space="preserve"> are commonly used across the public health sector. </w:t>
      </w:r>
      <w:r w:rsidR="00A37B0A">
        <w:t>In line</w:t>
      </w:r>
      <w:r w:rsidR="00A37B0A" w:rsidRPr="00A86C35">
        <w:t xml:space="preserve"> </w:t>
      </w:r>
      <w:r w:rsidRPr="00A86C35">
        <w:t>with the National Greenhouse and Energy Reporting Sche</w:t>
      </w:r>
      <w:r w:rsidRPr="00E54BC7">
        <w:t>me, health services should use GWP100 from the Intergovernmental Panel on Climate Change</w:t>
      </w:r>
      <w:r w:rsidR="00A37B0A" w:rsidRPr="00E54BC7">
        <w:t>’s</w:t>
      </w:r>
      <w:r w:rsidRPr="00E54BC7">
        <w:t xml:space="preserve"> </w:t>
      </w:r>
      <w:r w:rsidRPr="00E54BC7">
        <w:rPr>
          <w:i/>
          <w:iCs/>
        </w:rPr>
        <w:t>Fifth</w:t>
      </w:r>
      <w:r w:rsidR="00A37B0A" w:rsidRPr="00E54BC7">
        <w:rPr>
          <w:i/>
          <w:iCs/>
        </w:rPr>
        <w:t xml:space="preserve"> assessment report</w:t>
      </w:r>
      <w:r w:rsidRPr="00E54BC7">
        <w:t xml:space="preserve"> (AR5).</w:t>
      </w:r>
    </w:p>
    <w:p w14:paraId="42947681" w14:textId="3F24B5FA" w:rsidR="00B4134B" w:rsidRPr="00E54BC7" w:rsidRDefault="00B4134B" w:rsidP="008037D1">
      <w:pPr>
        <w:pStyle w:val="Tablecaption"/>
      </w:pPr>
      <w:bookmarkStart w:id="107" w:name="_Ref137726102"/>
      <w:r w:rsidRPr="00E54BC7">
        <w:t xml:space="preserve">Table </w:t>
      </w:r>
      <w:fldSimple w:instr=" SEQ Table \* ARABIC ">
        <w:r w:rsidR="00C52465" w:rsidRPr="00E54BC7">
          <w:rPr>
            <w:noProof/>
          </w:rPr>
          <w:t>11</w:t>
        </w:r>
      </w:fldSimple>
      <w:bookmarkEnd w:id="107"/>
      <w:r w:rsidRPr="00E54BC7">
        <w:t>: GWP factors for reporting environmental impacts in health services – medical and refrigerant gases</w:t>
      </w:r>
    </w:p>
    <w:tbl>
      <w:tblPr>
        <w:tblStyle w:val="Bluetable"/>
        <w:tblW w:w="5000" w:type="pct"/>
        <w:tblInd w:w="5" w:type="dxa"/>
        <w:tblLook w:val="04A0" w:firstRow="1" w:lastRow="0" w:firstColumn="1" w:lastColumn="0" w:noHBand="0" w:noVBand="1"/>
      </w:tblPr>
      <w:tblGrid>
        <w:gridCol w:w="4256"/>
        <w:gridCol w:w="2678"/>
        <w:gridCol w:w="2364"/>
      </w:tblGrid>
      <w:tr w:rsidR="00A86C35" w:rsidRPr="00E54BC7" w14:paraId="59ED8AD6" w14:textId="77777777" w:rsidTr="008037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9" w:type="pct"/>
          </w:tcPr>
          <w:p w14:paraId="4FACE9DE" w14:textId="77777777" w:rsidR="00A86C35" w:rsidRPr="00E54BC7" w:rsidRDefault="00A86C35" w:rsidP="008037D1">
            <w:pPr>
              <w:pStyle w:val="Tablecolhead"/>
              <w:rPr>
                <w:lang w:val="en-AU"/>
              </w:rPr>
            </w:pPr>
            <w:r w:rsidRPr="00E54BC7">
              <w:rPr>
                <w:rFonts w:eastAsia="Times New Roman"/>
              </w:rPr>
              <w:t>Common name</w:t>
            </w:r>
          </w:p>
        </w:tc>
        <w:tc>
          <w:tcPr>
            <w:tcW w:w="1440" w:type="pct"/>
          </w:tcPr>
          <w:p w14:paraId="3794CE94" w14:textId="77777777" w:rsidR="00A86C35" w:rsidRPr="00E54BC7" w:rsidRDefault="00A86C35"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E54BC7">
              <w:rPr>
                <w:rFonts w:eastAsia="Times New Roman"/>
              </w:rPr>
              <w:t>Chemical Formula</w:t>
            </w:r>
          </w:p>
        </w:tc>
        <w:tc>
          <w:tcPr>
            <w:tcW w:w="1271" w:type="pct"/>
          </w:tcPr>
          <w:p w14:paraId="62C5D0F1" w14:textId="77777777" w:rsidR="00A86C35" w:rsidRPr="00E54BC7" w:rsidRDefault="00A86C35" w:rsidP="008037D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E54BC7">
              <w:rPr>
                <w:rFonts w:eastAsia="Times New Roman"/>
              </w:rPr>
              <w:t>GWP</w:t>
            </w:r>
          </w:p>
        </w:tc>
      </w:tr>
      <w:tr w:rsidR="00A86C35" w:rsidRPr="00E54BC7" w14:paraId="4C1FC650"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08F4130E" w14:textId="77777777" w:rsidR="00A86C35" w:rsidRPr="00E54BC7" w:rsidRDefault="00A86C35" w:rsidP="008037D1">
            <w:pPr>
              <w:pStyle w:val="Tabletext"/>
              <w:rPr>
                <w:lang w:val="en-AU"/>
              </w:rPr>
            </w:pPr>
            <w:r w:rsidRPr="00E54BC7">
              <w:rPr>
                <w:rFonts w:eastAsia="Times New Roman"/>
              </w:rPr>
              <w:t>Nitrous oxide</w:t>
            </w:r>
          </w:p>
        </w:tc>
        <w:tc>
          <w:tcPr>
            <w:tcW w:w="1440" w:type="pct"/>
          </w:tcPr>
          <w:p w14:paraId="168BB55D" w14:textId="77777777" w:rsidR="00A86C35" w:rsidRPr="00E54BC7"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E54BC7">
              <w:rPr>
                <w:rFonts w:eastAsia="Times New Roman"/>
              </w:rPr>
              <w:t>N</w:t>
            </w:r>
            <w:r w:rsidRPr="00E54BC7">
              <w:rPr>
                <w:rFonts w:eastAsia="Times New Roman"/>
                <w:vertAlign w:val="subscript"/>
              </w:rPr>
              <w:t>2</w:t>
            </w:r>
            <w:r w:rsidRPr="00E54BC7">
              <w:rPr>
                <w:rFonts w:eastAsia="Times New Roman"/>
              </w:rPr>
              <w:t>O</w:t>
            </w:r>
          </w:p>
        </w:tc>
        <w:tc>
          <w:tcPr>
            <w:tcW w:w="1271" w:type="pct"/>
          </w:tcPr>
          <w:p w14:paraId="08B969E2" w14:textId="77777777" w:rsidR="00A86C35" w:rsidRPr="00E54BC7"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E54BC7">
              <w:rPr>
                <w:rFonts w:eastAsia="Times New Roman"/>
              </w:rPr>
              <w:t>265</w:t>
            </w:r>
          </w:p>
        </w:tc>
      </w:tr>
      <w:tr w:rsidR="00A86C35" w:rsidRPr="00E54BC7" w14:paraId="752174E2"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7A07C247" w14:textId="77777777" w:rsidR="00A86C35" w:rsidRPr="00E54BC7" w:rsidRDefault="00A86C35" w:rsidP="008037D1">
            <w:pPr>
              <w:pStyle w:val="Tabletext"/>
              <w:rPr>
                <w:lang w:val="en-AU"/>
              </w:rPr>
            </w:pPr>
            <w:r w:rsidRPr="00E54BC7">
              <w:rPr>
                <w:rFonts w:eastAsia="Times New Roman"/>
              </w:rPr>
              <w:t>Desflurane (HFE-236ea2)</w:t>
            </w:r>
          </w:p>
        </w:tc>
        <w:tc>
          <w:tcPr>
            <w:tcW w:w="1440" w:type="pct"/>
          </w:tcPr>
          <w:p w14:paraId="16B5081E" w14:textId="77777777" w:rsidR="00A86C35" w:rsidRPr="00E54BC7" w:rsidRDefault="00A86C35"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E54BC7">
              <w:rPr>
                <w:rFonts w:eastAsia="Times New Roman"/>
              </w:rPr>
              <w:t>C</w:t>
            </w:r>
            <w:r w:rsidRPr="00E54BC7">
              <w:rPr>
                <w:rFonts w:eastAsia="Times New Roman"/>
                <w:vertAlign w:val="subscript"/>
              </w:rPr>
              <w:t>3</w:t>
            </w:r>
            <w:r w:rsidRPr="00E54BC7">
              <w:rPr>
                <w:rFonts w:eastAsia="Times New Roman"/>
              </w:rPr>
              <w:t>H</w:t>
            </w:r>
            <w:r w:rsidRPr="00E54BC7">
              <w:rPr>
                <w:rFonts w:eastAsia="Times New Roman"/>
                <w:vertAlign w:val="subscript"/>
              </w:rPr>
              <w:t>2</w:t>
            </w:r>
            <w:r w:rsidRPr="00E54BC7">
              <w:rPr>
                <w:rFonts w:eastAsia="Times New Roman"/>
              </w:rPr>
              <w:t>F</w:t>
            </w:r>
            <w:r w:rsidRPr="00E54BC7">
              <w:rPr>
                <w:rFonts w:eastAsia="Times New Roman"/>
                <w:vertAlign w:val="subscript"/>
              </w:rPr>
              <w:t>6</w:t>
            </w:r>
            <w:r w:rsidRPr="00E54BC7">
              <w:rPr>
                <w:rFonts w:eastAsia="Times New Roman"/>
              </w:rPr>
              <w:t>O</w:t>
            </w:r>
          </w:p>
        </w:tc>
        <w:tc>
          <w:tcPr>
            <w:tcW w:w="1271" w:type="pct"/>
          </w:tcPr>
          <w:p w14:paraId="3A053726" w14:textId="140F2D9E" w:rsidR="00A86C35" w:rsidRPr="00E54BC7" w:rsidRDefault="00EB181F"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Pr>
                <w:rFonts w:eastAsia="Times New Roman"/>
              </w:rPr>
              <w:t>1790</w:t>
            </w:r>
          </w:p>
        </w:tc>
      </w:tr>
      <w:tr w:rsidR="00A86C35" w:rsidRPr="00E54BC7" w14:paraId="285EA5D8"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1F8DF844" w14:textId="77777777" w:rsidR="00A86C35" w:rsidRPr="00E54BC7" w:rsidRDefault="00A86C35" w:rsidP="008037D1">
            <w:pPr>
              <w:pStyle w:val="Tabletext"/>
              <w:rPr>
                <w:lang w:val="en-AU"/>
              </w:rPr>
            </w:pPr>
            <w:r w:rsidRPr="00E54BC7">
              <w:rPr>
                <w:rFonts w:eastAsia="Times New Roman"/>
              </w:rPr>
              <w:t>Isoflurane (HCFE-235da2)</w:t>
            </w:r>
          </w:p>
        </w:tc>
        <w:tc>
          <w:tcPr>
            <w:tcW w:w="1440" w:type="pct"/>
          </w:tcPr>
          <w:p w14:paraId="247A0D6A" w14:textId="77777777" w:rsidR="00A86C35" w:rsidRPr="00E54BC7"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E54BC7">
              <w:rPr>
                <w:rFonts w:eastAsia="Times New Roman"/>
              </w:rPr>
              <w:t>C</w:t>
            </w:r>
            <w:r w:rsidRPr="00E54BC7">
              <w:rPr>
                <w:rFonts w:eastAsia="Times New Roman"/>
                <w:vertAlign w:val="subscript"/>
              </w:rPr>
              <w:t>3</w:t>
            </w:r>
            <w:r w:rsidRPr="00E54BC7">
              <w:rPr>
                <w:rFonts w:eastAsia="Times New Roman"/>
              </w:rPr>
              <w:t>H</w:t>
            </w:r>
            <w:r w:rsidRPr="00E54BC7">
              <w:rPr>
                <w:rFonts w:eastAsia="Times New Roman"/>
                <w:vertAlign w:val="subscript"/>
              </w:rPr>
              <w:t>2</w:t>
            </w:r>
            <w:r w:rsidRPr="00E54BC7">
              <w:rPr>
                <w:rFonts w:eastAsia="Times New Roman"/>
              </w:rPr>
              <w:t>ClF</w:t>
            </w:r>
            <w:r w:rsidRPr="00E54BC7">
              <w:rPr>
                <w:rFonts w:eastAsia="Times New Roman"/>
                <w:vertAlign w:val="subscript"/>
              </w:rPr>
              <w:t>5</w:t>
            </w:r>
            <w:r w:rsidRPr="00E54BC7">
              <w:rPr>
                <w:rFonts w:eastAsia="Times New Roman"/>
              </w:rPr>
              <w:t>O</w:t>
            </w:r>
          </w:p>
        </w:tc>
        <w:tc>
          <w:tcPr>
            <w:tcW w:w="1271" w:type="pct"/>
          </w:tcPr>
          <w:p w14:paraId="796164A2" w14:textId="3347AC75" w:rsidR="00A86C35" w:rsidRPr="00E54BC7" w:rsidRDefault="00CD17D2"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Pr>
                <w:rFonts w:eastAsia="Times New Roman"/>
              </w:rPr>
              <w:t>491</w:t>
            </w:r>
          </w:p>
        </w:tc>
      </w:tr>
      <w:tr w:rsidR="00A86C35" w:rsidRPr="007849E3" w14:paraId="1C78FC78"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520D2736" w14:textId="77777777" w:rsidR="00A86C35" w:rsidRPr="00E54BC7" w:rsidRDefault="00A86C35" w:rsidP="008037D1">
            <w:pPr>
              <w:pStyle w:val="Tabletext"/>
              <w:rPr>
                <w:lang w:val="en-AU"/>
              </w:rPr>
            </w:pPr>
            <w:r w:rsidRPr="00E54BC7">
              <w:rPr>
                <w:rFonts w:eastAsia="Times New Roman"/>
              </w:rPr>
              <w:t>Sevoflurane (HFE-347mmz1)</w:t>
            </w:r>
          </w:p>
        </w:tc>
        <w:tc>
          <w:tcPr>
            <w:tcW w:w="1440" w:type="pct"/>
          </w:tcPr>
          <w:p w14:paraId="5DA610FE" w14:textId="77777777" w:rsidR="00A86C35" w:rsidRPr="00E54BC7" w:rsidRDefault="00A86C35"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E54BC7">
              <w:rPr>
                <w:rFonts w:eastAsia="Times New Roman"/>
              </w:rPr>
              <w:t>C</w:t>
            </w:r>
            <w:r w:rsidRPr="00E54BC7">
              <w:rPr>
                <w:rFonts w:eastAsia="Times New Roman"/>
                <w:vertAlign w:val="subscript"/>
              </w:rPr>
              <w:t>4</w:t>
            </w:r>
            <w:r w:rsidRPr="00E54BC7">
              <w:rPr>
                <w:rFonts w:eastAsia="Times New Roman"/>
              </w:rPr>
              <w:t>H</w:t>
            </w:r>
            <w:r w:rsidRPr="00E54BC7">
              <w:rPr>
                <w:rFonts w:eastAsia="Times New Roman"/>
                <w:vertAlign w:val="subscript"/>
              </w:rPr>
              <w:t>3</w:t>
            </w:r>
            <w:r w:rsidRPr="00E54BC7">
              <w:rPr>
                <w:rFonts w:eastAsia="Times New Roman"/>
              </w:rPr>
              <w:t>F</w:t>
            </w:r>
            <w:r w:rsidRPr="00E54BC7">
              <w:rPr>
                <w:rFonts w:eastAsia="Times New Roman"/>
                <w:vertAlign w:val="subscript"/>
              </w:rPr>
              <w:t>7</w:t>
            </w:r>
            <w:r w:rsidRPr="00E54BC7">
              <w:rPr>
                <w:rFonts w:eastAsia="Times New Roman"/>
              </w:rPr>
              <w:t>O</w:t>
            </w:r>
          </w:p>
        </w:tc>
        <w:tc>
          <w:tcPr>
            <w:tcW w:w="1271" w:type="pct"/>
          </w:tcPr>
          <w:p w14:paraId="46E6B9F6" w14:textId="1CBF726E" w:rsidR="00A86C35" w:rsidRPr="008037D1" w:rsidRDefault="00CE6AC5"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Pr>
                <w:rFonts w:eastAsia="Times New Roman"/>
              </w:rPr>
              <w:t>216</w:t>
            </w:r>
          </w:p>
        </w:tc>
      </w:tr>
      <w:tr w:rsidR="00A86C35" w:rsidRPr="007849E3" w14:paraId="3D8D080A"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687A42DC" w14:textId="77777777" w:rsidR="00A86C35" w:rsidRPr="008037D1" w:rsidRDefault="00A86C35" w:rsidP="008037D1">
            <w:pPr>
              <w:pStyle w:val="Tabletext"/>
              <w:rPr>
                <w:lang w:val="en-AU"/>
              </w:rPr>
            </w:pPr>
            <w:r w:rsidRPr="008037D1">
              <w:rPr>
                <w:rFonts w:eastAsia="Times New Roman"/>
              </w:rPr>
              <w:t>Refrigerant – R134A (HFC-134a)</w:t>
            </w:r>
          </w:p>
        </w:tc>
        <w:tc>
          <w:tcPr>
            <w:tcW w:w="1440" w:type="pct"/>
          </w:tcPr>
          <w:p w14:paraId="3563E5C3" w14:textId="77777777" w:rsidR="00A86C35" w:rsidRPr="008037D1"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C</w:t>
            </w:r>
            <w:r w:rsidRPr="008037D1">
              <w:rPr>
                <w:rFonts w:eastAsia="Times New Roman"/>
                <w:vertAlign w:val="subscript"/>
              </w:rPr>
              <w:t>2</w:t>
            </w:r>
            <w:r w:rsidRPr="008037D1">
              <w:rPr>
                <w:rFonts w:eastAsia="Times New Roman"/>
              </w:rPr>
              <w:t>H</w:t>
            </w:r>
            <w:r w:rsidRPr="008037D1">
              <w:rPr>
                <w:rFonts w:eastAsia="Times New Roman"/>
                <w:vertAlign w:val="subscript"/>
              </w:rPr>
              <w:t>2</w:t>
            </w:r>
            <w:r w:rsidRPr="008037D1">
              <w:rPr>
                <w:rFonts w:eastAsia="Times New Roman"/>
              </w:rPr>
              <w:t>F</w:t>
            </w:r>
            <w:r w:rsidRPr="008037D1">
              <w:rPr>
                <w:rFonts w:eastAsia="Times New Roman"/>
                <w:vertAlign w:val="subscript"/>
              </w:rPr>
              <w:t>4</w:t>
            </w:r>
            <w:r w:rsidRPr="008037D1">
              <w:rPr>
                <w:rFonts w:eastAsia="Times New Roman"/>
              </w:rPr>
              <w:t> (CH</w:t>
            </w:r>
            <w:r w:rsidRPr="008037D1">
              <w:rPr>
                <w:rFonts w:eastAsia="Times New Roman"/>
                <w:vertAlign w:val="subscript"/>
              </w:rPr>
              <w:t>2</w:t>
            </w:r>
            <w:r w:rsidRPr="008037D1">
              <w:rPr>
                <w:rFonts w:eastAsia="Times New Roman"/>
              </w:rPr>
              <w:t>FCF</w:t>
            </w:r>
            <w:r w:rsidRPr="008037D1">
              <w:rPr>
                <w:rFonts w:eastAsia="Times New Roman"/>
                <w:vertAlign w:val="subscript"/>
              </w:rPr>
              <w:t>3</w:t>
            </w:r>
            <w:r w:rsidRPr="008037D1">
              <w:rPr>
                <w:rFonts w:eastAsia="Times New Roman"/>
              </w:rPr>
              <w:t>)</w:t>
            </w:r>
          </w:p>
        </w:tc>
        <w:tc>
          <w:tcPr>
            <w:tcW w:w="1271" w:type="pct"/>
          </w:tcPr>
          <w:p w14:paraId="54723CA2" w14:textId="77777777" w:rsidR="00A86C35" w:rsidRPr="008037D1"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1300</w:t>
            </w:r>
          </w:p>
        </w:tc>
      </w:tr>
      <w:tr w:rsidR="00A86C35" w:rsidRPr="007849E3" w14:paraId="0D8FD3F7" w14:textId="77777777" w:rsidTr="00803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667A44C4" w14:textId="77777777" w:rsidR="00A86C35" w:rsidRPr="008037D1" w:rsidRDefault="00A86C35" w:rsidP="008037D1">
            <w:pPr>
              <w:pStyle w:val="Tabletext"/>
              <w:rPr>
                <w:lang w:val="en-AU"/>
              </w:rPr>
            </w:pPr>
            <w:r w:rsidRPr="008037D1">
              <w:rPr>
                <w:rFonts w:eastAsia="Times New Roman"/>
              </w:rPr>
              <w:t>Refrigerant – R22 (HCFC-22)</w:t>
            </w:r>
          </w:p>
        </w:tc>
        <w:tc>
          <w:tcPr>
            <w:tcW w:w="1440" w:type="pct"/>
          </w:tcPr>
          <w:p w14:paraId="7BAD0AEF" w14:textId="77777777" w:rsidR="00A86C35" w:rsidRPr="008037D1" w:rsidRDefault="00A86C35"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sidRPr="008037D1">
              <w:rPr>
                <w:rFonts w:eastAsia="Times New Roman"/>
              </w:rPr>
              <w:t>CHClF</w:t>
            </w:r>
            <w:r w:rsidRPr="008037D1">
              <w:rPr>
                <w:rFonts w:eastAsia="Times New Roman"/>
                <w:vertAlign w:val="subscript"/>
              </w:rPr>
              <w:t>2</w:t>
            </w:r>
          </w:p>
        </w:tc>
        <w:tc>
          <w:tcPr>
            <w:tcW w:w="1271" w:type="pct"/>
          </w:tcPr>
          <w:p w14:paraId="38897D11" w14:textId="43AA2E44" w:rsidR="00A86C35" w:rsidRPr="008037D1" w:rsidRDefault="004E5770" w:rsidP="008037D1">
            <w:pPr>
              <w:pStyle w:val="Tabletext"/>
              <w:cnfStyle w:val="000000010000" w:firstRow="0" w:lastRow="0" w:firstColumn="0" w:lastColumn="0" w:oddVBand="0" w:evenVBand="0" w:oddHBand="0" w:evenHBand="1" w:firstRowFirstColumn="0" w:firstRowLastColumn="0" w:lastRowFirstColumn="0" w:lastRowLastColumn="0"/>
              <w:rPr>
                <w:lang w:val="en-AU"/>
              </w:rPr>
            </w:pPr>
            <w:r>
              <w:rPr>
                <w:rFonts w:eastAsia="Times New Roman"/>
              </w:rPr>
              <w:t>1760</w:t>
            </w:r>
          </w:p>
        </w:tc>
      </w:tr>
      <w:tr w:rsidR="00A86C35" w:rsidRPr="007849E3" w14:paraId="06FE7352" w14:textId="77777777" w:rsidTr="00803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pct"/>
          </w:tcPr>
          <w:p w14:paraId="61C35596" w14:textId="77777777" w:rsidR="00A86C35" w:rsidRPr="008037D1" w:rsidRDefault="00A86C35" w:rsidP="008037D1">
            <w:pPr>
              <w:pStyle w:val="Tabletext"/>
              <w:rPr>
                <w:lang w:val="en-AU"/>
              </w:rPr>
            </w:pPr>
            <w:r w:rsidRPr="008037D1">
              <w:rPr>
                <w:rFonts w:eastAsia="Times New Roman"/>
              </w:rPr>
              <w:t>Refrigerant – R227EA (HFC-227ea)</w:t>
            </w:r>
          </w:p>
        </w:tc>
        <w:tc>
          <w:tcPr>
            <w:tcW w:w="1440" w:type="pct"/>
          </w:tcPr>
          <w:p w14:paraId="1DB757CD" w14:textId="77777777" w:rsidR="00A86C35" w:rsidRPr="008037D1"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C</w:t>
            </w:r>
            <w:r w:rsidRPr="008037D1">
              <w:rPr>
                <w:rFonts w:eastAsia="Times New Roman"/>
                <w:vertAlign w:val="subscript"/>
              </w:rPr>
              <w:t>3</w:t>
            </w:r>
            <w:r w:rsidRPr="008037D1">
              <w:rPr>
                <w:rFonts w:eastAsia="Times New Roman"/>
              </w:rPr>
              <w:t>HF</w:t>
            </w:r>
            <w:r w:rsidRPr="008037D1">
              <w:rPr>
                <w:rFonts w:eastAsia="Times New Roman"/>
                <w:vertAlign w:val="subscript"/>
              </w:rPr>
              <w:t>7</w:t>
            </w:r>
          </w:p>
        </w:tc>
        <w:tc>
          <w:tcPr>
            <w:tcW w:w="1271" w:type="pct"/>
          </w:tcPr>
          <w:p w14:paraId="1DB01410" w14:textId="77777777" w:rsidR="00A86C35" w:rsidRPr="008037D1" w:rsidRDefault="00A86C35" w:rsidP="008037D1">
            <w:pPr>
              <w:pStyle w:val="Tabletext"/>
              <w:cnfStyle w:val="000000100000" w:firstRow="0" w:lastRow="0" w:firstColumn="0" w:lastColumn="0" w:oddVBand="0" w:evenVBand="0" w:oddHBand="1" w:evenHBand="0" w:firstRowFirstColumn="0" w:firstRowLastColumn="0" w:lastRowFirstColumn="0" w:lastRowLastColumn="0"/>
              <w:rPr>
                <w:lang w:val="en-AU"/>
              </w:rPr>
            </w:pPr>
            <w:r w:rsidRPr="008037D1">
              <w:rPr>
                <w:rFonts w:eastAsia="Times New Roman"/>
              </w:rPr>
              <w:t>3350</w:t>
            </w:r>
          </w:p>
        </w:tc>
      </w:tr>
    </w:tbl>
    <w:p w14:paraId="6A9ACB88" w14:textId="45E5A7EF" w:rsidR="00A86C35" w:rsidRPr="00A86C35" w:rsidRDefault="00A86C35" w:rsidP="008037D1">
      <w:pPr>
        <w:pStyle w:val="Bodyaftertablefigure"/>
      </w:pPr>
      <w:r w:rsidRPr="00A86C35">
        <w:t>Refrigerant blends can have different compositions</w:t>
      </w:r>
      <w:r w:rsidR="00A37B0A">
        <w:t>.</w:t>
      </w:r>
      <w:r w:rsidRPr="00A86C35">
        <w:t xml:space="preserve"> </w:t>
      </w:r>
      <w:r w:rsidR="00A37B0A">
        <w:t>If</w:t>
      </w:r>
      <w:r w:rsidR="00A37B0A" w:rsidRPr="00A86C35">
        <w:t xml:space="preserve"> </w:t>
      </w:r>
      <w:r w:rsidRPr="00A86C35">
        <w:t>systems use blends</w:t>
      </w:r>
      <w:r w:rsidR="00A37B0A">
        <w:t>,</w:t>
      </w:r>
      <w:r w:rsidRPr="00A86C35">
        <w:t xml:space="preserve"> use the GWP quoted by the manufacturer.</w:t>
      </w:r>
    </w:p>
    <w:p w14:paraId="4F7F09D4" w14:textId="39B14331" w:rsidR="00A86C35" w:rsidRPr="00A86C35" w:rsidRDefault="00A86C35" w:rsidP="00A86C35">
      <w:pPr>
        <w:pStyle w:val="Body"/>
      </w:pPr>
      <w:r w:rsidRPr="00A86C35">
        <w:t>Direct emission from gases is calculated by multiplying the weight of consumed gas</w:t>
      </w:r>
      <w:r w:rsidR="00A37B0A">
        <w:t xml:space="preserve"> (</w:t>
      </w:r>
      <w:r w:rsidRPr="00A86C35">
        <w:t>or in some instances the amount of refrigerant leakage</w:t>
      </w:r>
      <w:r w:rsidR="00A37B0A">
        <w:t>)</w:t>
      </w:r>
      <w:r w:rsidRPr="00A86C35">
        <w:t xml:space="preserve"> in kilograms by its GWP. </w:t>
      </w:r>
    </w:p>
    <w:p w14:paraId="06432ABB" w14:textId="178455C5" w:rsidR="00DA083A" w:rsidRDefault="00A86C35" w:rsidP="005329AF">
      <w:pPr>
        <w:pStyle w:val="Body"/>
      </w:pPr>
      <w:r w:rsidRPr="00A86C35">
        <w:t xml:space="preserve">Refrigerant leakage from a new chiller is around </w:t>
      </w:r>
      <w:r w:rsidR="00632E3A">
        <w:t>3%</w:t>
      </w:r>
      <w:r w:rsidRPr="00A86C35">
        <w:t xml:space="preserve"> </w:t>
      </w:r>
      <w:r w:rsidR="00D15293">
        <w:t>each</w:t>
      </w:r>
      <w:r w:rsidR="00D15293" w:rsidRPr="00A86C35">
        <w:t xml:space="preserve"> </w:t>
      </w:r>
      <w:r w:rsidR="00854333">
        <w:t>year</w:t>
      </w:r>
      <w:r w:rsidRPr="00A86C35">
        <w:t xml:space="preserve">. Leakage from older chillers varies and could be up to </w:t>
      </w:r>
      <w:r w:rsidR="00632E3A">
        <w:t>8%</w:t>
      </w:r>
      <w:r w:rsidRPr="00A86C35">
        <w:t xml:space="preserve"> </w:t>
      </w:r>
      <w:r w:rsidR="00D15293">
        <w:t>each</w:t>
      </w:r>
      <w:r w:rsidRPr="00A86C35">
        <w:t xml:space="preserve"> </w:t>
      </w:r>
      <w:r w:rsidR="00854333">
        <w:t>year</w:t>
      </w:r>
      <w:r w:rsidRPr="00A86C35">
        <w:t>.</w:t>
      </w:r>
    </w:p>
    <w:p w14:paraId="2544CB32" w14:textId="59D78B34" w:rsidR="00482E34" w:rsidRDefault="00A86C35" w:rsidP="005329AF">
      <w:pPr>
        <w:pStyle w:val="Body"/>
      </w:pPr>
      <w:r w:rsidRPr="00A86C35">
        <w:t xml:space="preserve">Information on consumption </w:t>
      </w:r>
      <w:r w:rsidR="00DA083A">
        <w:t>may be in</w:t>
      </w:r>
      <w:r w:rsidRPr="00A86C35">
        <w:t xml:space="preserve"> invoices. Typically, consumption is reported in volume</w:t>
      </w:r>
      <w:r w:rsidR="00DA083A">
        <w:t>.</w:t>
      </w:r>
      <w:r w:rsidRPr="00A86C35">
        <w:t xml:space="preserve"> </w:t>
      </w:r>
      <w:r w:rsidR="00DA083A">
        <w:t xml:space="preserve">This </w:t>
      </w:r>
      <w:r w:rsidRPr="00A86C35">
        <w:t xml:space="preserve">can be converted to weight by multiplying the volume in cubic metres </w:t>
      </w:r>
      <w:r w:rsidR="00DA083A">
        <w:t>by</w:t>
      </w:r>
      <w:r w:rsidR="00DA083A" w:rsidRPr="00A86C35">
        <w:t xml:space="preserve"> </w:t>
      </w:r>
      <w:r w:rsidRPr="00A86C35">
        <w:t>the gas density.</w:t>
      </w:r>
    </w:p>
    <w:p w14:paraId="0A807589" w14:textId="77777777" w:rsidR="009C443A" w:rsidRPr="008037D1" w:rsidRDefault="009C443A" w:rsidP="008037D1">
      <w:pPr>
        <w:pStyle w:val="Body"/>
      </w:pPr>
      <w:r w:rsidRPr="00941E17">
        <w:br w:type="page"/>
      </w:r>
    </w:p>
    <w:p w14:paraId="6BB5518D" w14:textId="05BD9B71" w:rsidR="0092750F" w:rsidRPr="005329AF" w:rsidRDefault="0092750F" w:rsidP="0092750F">
      <w:pPr>
        <w:pStyle w:val="Heading1"/>
      </w:pPr>
      <w:bookmarkStart w:id="108" w:name="_Toc138239136"/>
      <w:r w:rsidRPr="005329AF">
        <w:t xml:space="preserve">Appendix </w:t>
      </w:r>
      <w:r w:rsidR="00F73409">
        <w:t>F</w:t>
      </w:r>
      <w:r w:rsidRPr="005329AF">
        <w:t>: Other environmental reporting frameworks</w:t>
      </w:r>
      <w:bookmarkEnd w:id="108"/>
    </w:p>
    <w:p w14:paraId="26068FC7" w14:textId="7A78A807" w:rsidR="0092750F" w:rsidRPr="005329AF" w:rsidRDefault="0092750F" w:rsidP="008037D1">
      <w:pPr>
        <w:pStyle w:val="Heading2notinTOC"/>
      </w:pPr>
      <w:bookmarkStart w:id="109" w:name="_Toc134171723"/>
      <w:r w:rsidRPr="005329AF">
        <w:t>Global Reporting Initiative</w:t>
      </w:r>
      <w:bookmarkEnd w:id="109"/>
    </w:p>
    <w:p w14:paraId="62AE08E2" w14:textId="72CD678A" w:rsidR="004A0C16" w:rsidRDefault="0092750F" w:rsidP="0092750F">
      <w:pPr>
        <w:pStyle w:val="Body"/>
      </w:pPr>
      <w:r w:rsidRPr="005329AF">
        <w:t xml:space="preserve">The Global Reporting Initiative (GRI) provides guidance to organisations </w:t>
      </w:r>
      <w:r w:rsidR="00DA083A">
        <w:t>on</w:t>
      </w:r>
      <w:r w:rsidR="00DA083A" w:rsidRPr="005329AF">
        <w:t xml:space="preserve"> </w:t>
      </w:r>
      <w:r w:rsidRPr="005329AF">
        <w:t>disclos</w:t>
      </w:r>
      <w:r w:rsidR="00DA083A">
        <w:t>ing</w:t>
      </w:r>
      <w:r w:rsidRPr="005329AF">
        <w:t xml:space="preserve"> their sustainability performance</w:t>
      </w:r>
      <w:r w:rsidR="004A0C16">
        <w:t>.</w:t>
      </w:r>
    </w:p>
    <w:p w14:paraId="2D6A2B5C" w14:textId="1C73B690" w:rsidR="0092750F" w:rsidRPr="005329AF" w:rsidRDefault="004A0C16" w:rsidP="0092750F">
      <w:pPr>
        <w:pStyle w:val="Body"/>
      </w:pPr>
      <w:r>
        <w:t xml:space="preserve">GRI </w:t>
      </w:r>
      <w:r w:rsidR="0092750F" w:rsidRPr="005329AF">
        <w:t xml:space="preserve">also </w:t>
      </w:r>
      <w:r>
        <w:t>offers</w:t>
      </w:r>
      <w:r w:rsidRPr="005329AF">
        <w:t xml:space="preserve"> </w:t>
      </w:r>
      <w:r w:rsidR="0092750F" w:rsidRPr="005329AF">
        <w:t xml:space="preserve">stakeholders a universally applicable, comparable framework </w:t>
      </w:r>
      <w:r>
        <w:t>for</w:t>
      </w:r>
      <w:r w:rsidR="0092750F" w:rsidRPr="005329AF">
        <w:t xml:space="preserve"> understand</w:t>
      </w:r>
      <w:r>
        <w:t>ing</w:t>
      </w:r>
      <w:r w:rsidR="0092750F" w:rsidRPr="005329AF">
        <w:t xml:space="preserve"> disclosed information.</w:t>
      </w:r>
      <w:r>
        <w:t xml:space="preserve"> </w:t>
      </w:r>
      <w:r w:rsidR="0092750F" w:rsidRPr="005329AF">
        <w:t xml:space="preserve">The </w:t>
      </w:r>
      <w:r w:rsidR="0092750F" w:rsidRPr="008037D1">
        <w:rPr>
          <w:i/>
          <w:iCs/>
        </w:rPr>
        <w:t xml:space="preserve">GRI </w:t>
      </w:r>
      <w:r w:rsidRPr="008037D1">
        <w:rPr>
          <w:i/>
          <w:iCs/>
        </w:rPr>
        <w:t>sustainability reporting framework</w:t>
      </w:r>
      <w:r w:rsidRPr="005329AF">
        <w:t xml:space="preserve"> </w:t>
      </w:r>
      <w:r w:rsidR="0092750F" w:rsidRPr="005329AF">
        <w:t xml:space="preserve">is widely used around the world. The </w:t>
      </w:r>
      <w:r>
        <w:t>f</w:t>
      </w:r>
      <w:r w:rsidR="0092750F" w:rsidRPr="005329AF">
        <w:t>ramework enables organisations to measure and report their economic, environmental, social and governance performance.</w:t>
      </w:r>
    </w:p>
    <w:p w14:paraId="5D0E3945" w14:textId="43811F41" w:rsidR="0092750F" w:rsidRPr="005329AF" w:rsidRDefault="007849E3" w:rsidP="0092750F">
      <w:pPr>
        <w:pStyle w:val="Body"/>
      </w:pPr>
      <w:r>
        <w:t>F</w:t>
      </w:r>
      <w:r w:rsidRPr="005329AF">
        <w:t>or more information</w:t>
      </w:r>
      <w:r>
        <w:t>,</w:t>
      </w:r>
      <w:r w:rsidRPr="005329AF">
        <w:t xml:space="preserve"> </w:t>
      </w:r>
      <w:r>
        <w:t>visit</w:t>
      </w:r>
      <w:r w:rsidRPr="005329AF">
        <w:t xml:space="preserve"> </w:t>
      </w:r>
      <w:r w:rsidR="0092750F" w:rsidRPr="005329AF">
        <w:t>the</w:t>
      </w:r>
      <w:r>
        <w:t xml:space="preserve"> </w:t>
      </w:r>
      <w:hyperlink r:id="rId28" w:history="1">
        <w:r w:rsidRPr="007849E3">
          <w:rPr>
            <w:rStyle w:val="Hyperlink"/>
          </w:rPr>
          <w:t>GRI website</w:t>
        </w:r>
      </w:hyperlink>
      <w:r w:rsidR="0092750F" w:rsidRPr="005329AF">
        <w:t xml:space="preserve"> &lt;</w:t>
      </w:r>
      <w:r>
        <w:t>https://</w:t>
      </w:r>
      <w:r w:rsidR="0092750F" w:rsidRPr="005329AF">
        <w:t>www.globalreporting.org&gt;.</w:t>
      </w:r>
    </w:p>
    <w:p w14:paraId="29022F48" w14:textId="699AC1D1" w:rsidR="004A0C16" w:rsidRDefault="0092750F" w:rsidP="0092750F">
      <w:pPr>
        <w:pStyle w:val="Body"/>
      </w:pPr>
      <w:r w:rsidRPr="008037D1">
        <w:rPr>
          <w:b/>
          <w:bCs/>
        </w:rPr>
        <w:t>Note</w:t>
      </w:r>
      <w:r w:rsidRPr="005329AF">
        <w:t xml:space="preserve">: </w:t>
      </w:r>
      <w:r w:rsidR="007849E3" w:rsidRPr="008037D1">
        <w:rPr>
          <w:i/>
          <w:iCs/>
        </w:rPr>
        <w:t>Guidance on environmental disclosures under FRD 24</w:t>
      </w:r>
      <w:r w:rsidRPr="005329AF">
        <w:rPr>
          <w:lang w:val="en-US"/>
        </w:rPr>
        <w:t xml:space="preserve"> </w:t>
      </w:r>
      <w:r w:rsidRPr="005329AF">
        <w:t xml:space="preserve">maps FRD 24 indicators to relevant indicators from the GRI and lists relevant targets for the </w:t>
      </w:r>
      <w:r w:rsidR="00DA083A" w:rsidRPr="005329AF">
        <w:t>sustainable development goals</w:t>
      </w:r>
      <w:r w:rsidRPr="005329AF">
        <w:t xml:space="preserve"> (SDGs). Overall</w:t>
      </w:r>
      <w:r w:rsidR="00DA083A">
        <w:t>,</w:t>
      </w:r>
      <w:r w:rsidRPr="005329AF">
        <w:t xml:space="preserve"> FRD 24 supports the achievement of SDG Target 12.6:</w:t>
      </w:r>
    </w:p>
    <w:p w14:paraId="4F3AEB47" w14:textId="710A6D8D" w:rsidR="004A0C16" w:rsidRDefault="0092750F" w:rsidP="008037D1">
      <w:pPr>
        <w:pStyle w:val="Quotetext"/>
      </w:pPr>
      <w:r w:rsidRPr="005329AF">
        <w:t>Encourage companies, especially large and transnational companies, to adopt sustainable practices and to integrate sustainability information into their reporting cycle.</w:t>
      </w:r>
    </w:p>
    <w:p w14:paraId="05B7E589" w14:textId="67C36D09" w:rsidR="0092750F" w:rsidRPr="005329AF" w:rsidRDefault="007849E3" w:rsidP="008037D1">
      <w:pPr>
        <w:pStyle w:val="Bodyaftertablefigure"/>
      </w:pPr>
      <w:r>
        <w:t xml:space="preserve">More information is on </w:t>
      </w:r>
      <w:hyperlink r:id="rId29" w:history="1">
        <w:r w:rsidRPr="00DA083A">
          <w:rPr>
            <w:rStyle w:val="Hyperlink"/>
          </w:rPr>
          <w:t>DEECA’s Government environmental reporting web page</w:t>
        </w:r>
      </w:hyperlink>
      <w:r>
        <w:t xml:space="preserve"> &lt;</w:t>
      </w:r>
      <w:r w:rsidRPr="005329AF">
        <w:rPr>
          <w:lang w:val="en-US"/>
        </w:rPr>
        <w:t>https://www.climatechange.vic.gov.au/victorian-government-action-on-climate-change/government-environmental-reporting&gt;</w:t>
      </w:r>
      <w:r>
        <w:rPr>
          <w:lang w:val="en-US"/>
        </w:rPr>
        <w:t>.</w:t>
      </w:r>
    </w:p>
    <w:p w14:paraId="7AED6799" w14:textId="202C3F32" w:rsidR="0092750F" w:rsidRPr="005329AF" w:rsidRDefault="0092750F" w:rsidP="008037D1">
      <w:pPr>
        <w:pStyle w:val="Heading2notinTOC"/>
      </w:pPr>
      <w:bookmarkStart w:id="110" w:name="_Toc134171725"/>
      <w:r w:rsidRPr="005329AF">
        <w:t xml:space="preserve">Greenhouse Gas Protocol Corporate Accounting and Reporting Standard (GHG </w:t>
      </w:r>
      <w:r w:rsidR="00DA083A">
        <w:t>P</w:t>
      </w:r>
      <w:r w:rsidRPr="005329AF">
        <w:t>rotocol)</w:t>
      </w:r>
      <w:bookmarkEnd w:id="110"/>
    </w:p>
    <w:p w14:paraId="00AC4695" w14:textId="625A42B6" w:rsidR="0092750F" w:rsidRPr="005329AF" w:rsidRDefault="0092750F" w:rsidP="0092750F">
      <w:pPr>
        <w:pStyle w:val="Body"/>
      </w:pPr>
      <w:r w:rsidRPr="005329AF">
        <w:t xml:space="preserve">The GHG </w:t>
      </w:r>
      <w:r w:rsidR="00DA083A">
        <w:t>P</w:t>
      </w:r>
      <w:r w:rsidRPr="005329AF">
        <w:t>rotocol is a widely</w:t>
      </w:r>
      <w:r w:rsidR="004A0C16">
        <w:t>-</w:t>
      </w:r>
      <w:r w:rsidRPr="005329AF">
        <w:t>used international accounting tool to understand, quantify and manage greenhouse gas emissions.</w:t>
      </w:r>
    </w:p>
    <w:p w14:paraId="6C1C681D" w14:textId="12BED88D" w:rsidR="0092750F" w:rsidRPr="005329AF" w:rsidRDefault="007849E3" w:rsidP="0092750F">
      <w:pPr>
        <w:pStyle w:val="Body"/>
      </w:pPr>
      <w:r>
        <w:t>For more information, visit</w:t>
      </w:r>
      <w:r w:rsidRPr="005329AF">
        <w:t xml:space="preserve"> </w:t>
      </w:r>
      <w:r w:rsidR="0092750F" w:rsidRPr="005329AF">
        <w:t xml:space="preserve">the </w:t>
      </w:r>
      <w:hyperlink r:id="rId30" w:history="1">
        <w:r w:rsidR="0092750F" w:rsidRPr="005329AF">
          <w:rPr>
            <w:rStyle w:val="Hyperlink"/>
          </w:rPr>
          <w:t>GHG Protocol website</w:t>
        </w:r>
      </w:hyperlink>
      <w:r w:rsidR="0092750F" w:rsidRPr="005329AF">
        <w:t xml:space="preserve"> &lt;</w:t>
      </w:r>
      <w:r>
        <w:t>https://</w:t>
      </w:r>
      <w:r w:rsidR="0092750F" w:rsidRPr="005329AF">
        <w:t>www.ghgprotocol.org&gt;.</w:t>
      </w:r>
    </w:p>
    <w:p w14:paraId="18D32443" w14:textId="77777777" w:rsidR="0092750F" w:rsidRPr="005329AF" w:rsidRDefault="0092750F" w:rsidP="008037D1">
      <w:pPr>
        <w:pStyle w:val="Heading2notinTOC"/>
      </w:pPr>
      <w:bookmarkStart w:id="111" w:name="_Toc134171726"/>
      <w:r w:rsidRPr="005329AF">
        <w:t>National Greenhouse and Energy Reporting Scheme</w:t>
      </w:r>
      <w:bookmarkEnd w:id="111"/>
    </w:p>
    <w:p w14:paraId="403BFC2F" w14:textId="735209EE" w:rsidR="007849E3" w:rsidRDefault="0092750F" w:rsidP="0092750F">
      <w:pPr>
        <w:pStyle w:val="Body"/>
      </w:pPr>
      <w:r w:rsidRPr="005329AF">
        <w:t xml:space="preserve">The National Greenhouse and Energy Reporting Scheme provides a single national legislated reporting framework in Australia for reporting and </w:t>
      </w:r>
      <w:r w:rsidR="00DA083A">
        <w:t>sharing</w:t>
      </w:r>
      <w:r w:rsidRPr="005329AF">
        <w:t xml:space="preserve"> information about </w:t>
      </w:r>
      <w:r w:rsidR="00DA083A">
        <w:t xml:space="preserve">corporations’ </w:t>
      </w:r>
      <w:r w:rsidRPr="005329AF">
        <w:t>greenhouse gas emissions, energy use and energy production.</w:t>
      </w:r>
    </w:p>
    <w:p w14:paraId="7722E9CA" w14:textId="16BA1D0F" w:rsidR="0092750F" w:rsidRPr="005329AF" w:rsidRDefault="0092750F" w:rsidP="0092750F">
      <w:pPr>
        <w:pStyle w:val="Body"/>
      </w:pPr>
      <w:r w:rsidRPr="005329AF">
        <w:t xml:space="preserve">Many large health services report annually to the </w:t>
      </w:r>
      <w:r w:rsidR="007849E3">
        <w:t>Australian</w:t>
      </w:r>
      <w:r w:rsidR="007849E3" w:rsidRPr="005329AF">
        <w:t xml:space="preserve"> </w:t>
      </w:r>
      <w:r w:rsidR="007849E3">
        <w:t>G</w:t>
      </w:r>
      <w:r w:rsidR="007849E3" w:rsidRPr="005329AF">
        <w:t xml:space="preserve">overnment </w:t>
      </w:r>
      <w:r w:rsidRPr="005329AF">
        <w:t>under the</w:t>
      </w:r>
      <w:r w:rsidR="004A0C16">
        <w:t xml:space="preserve"> </w:t>
      </w:r>
      <w:r w:rsidR="004A0C16" w:rsidRPr="008037D1">
        <w:rPr>
          <w:i/>
          <w:iCs/>
        </w:rPr>
        <w:t>National Greenhouse and Energy Reporting</w:t>
      </w:r>
      <w:r w:rsidRPr="008037D1">
        <w:rPr>
          <w:i/>
          <w:iCs/>
        </w:rPr>
        <w:t xml:space="preserve"> Act</w:t>
      </w:r>
      <w:r w:rsidR="004A0C16" w:rsidRPr="008037D1">
        <w:rPr>
          <w:i/>
          <w:iCs/>
        </w:rPr>
        <w:t xml:space="preserve"> 2007</w:t>
      </w:r>
      <w:r w:rsidR="004A0C16">
        <w:t xml:space="preserve"> (</w:t>
      </w:r>
      <w:proofErr w:type="spellStart"/>
      <w:r w:rsidR="004A0C16">
        <w:t>Cth</w:t>
      </w:r>
      <w:proofErr w:type="spellEnd"/>
      <w:r w:rsidR="004A0C16">
        <w:t>)</w:t>
      </w:r>
      <w:r w:rsidRPr="005329AF">
        <w:t>.</w:t>
      </w:r>
    </w:p>
    <w:p w14:paraId="7C0F22C1" w14:textId="77193FAC" w:rsidR="0092750F" w:rsidRDefault="00DA083A" w:rsidP="005329AF">
      <w:pPr>
        <w:pStyle w:val="Body"/>
      </w:pPr>
      <w:r>
        <w:t>For more information, s</w:t>
      </w:r>
      <w:r w:rsidR="0092750F" w:rsidRPr="005329AF">
        <w:t xml:space="preserve">ee the </w:t>
      </w:r>
      <w:hyperlink r:id="rId31" w:history="1">
        <w:r w:rsidR="0092750F" w:rsidRPr="005329AF">
          <w:rPr>
            <w:rStyle w:val="Hyperlink"/>
          </w:rPr>
          <w:t>Clean Energy Regulator website</w:t>
        </w:r>
      </w:hyperlink>
      <w:r w:rsidR="0092750F" w:rsidRPr="005329AF">
        <w:t xml:space="preserve"> &lt;</w:t>
      </w:r>
      <w:r w:rsidR="001356D2">
        <w:t>https://</w:t>
      </w:r>
      <w:r w:rsidR="0092750F" w:rsidRPr="005329AF">
        <w:t>www.cleanenergyregulator.gov.au&gt;</w:t>
      </w:r>
      <w:r w:rsidR="00B4134B">
        <w:t>.</w:t>
      </w:r>
    </w:p>
    <w:sectPr w:rsidR="0092750F"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A485" w14:textId="77777777" w:rsidR="00083FFE" w:rsidRDefault="00083FFE">
      <w:r>
        <w:separator/>
      </w:r>
    </w:p>
    <w:p w14:paraId="03A66779" w14:textId="77777777" w:rsidR="00083FFE" w:rsidRDefault="00083FFE"/>
  </w:endnote>
  <w:endnote w:type="continuationSeparator" w:id="0">
    <w:p w14:paraId="1AE2A584" w14:textId="77777777" w:rsidR="00083FFE" w:rsidRDefault="00083FFE">
      <w:r>
        <w:continuationSeparator/>
      </w:r>
    </w:p>
    <w:p w14:paraId="03F46AC9" w14:textId="77777777" w:rsidR="00083FFE" w:rsidRDefault="00083FFE"/>
  </w:endnote>
  <w:endnote w:type="continuationNotice" w:id="1">
    <w:p w14:paraId="76CFCBA5" w14:textId="77777777" w:rsidR="00083FFE" w:rsidRDefault="00083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20D" w14:textId="6FFDEF10"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E38" w14:textId="2E5675BF"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A287" w14:textId="77777777" w:rsidR="00083FFE" w:rsidRDefault="00083FFE" w:rsidP="00207717">
      <w:pPr>
        <w:spacing w:before="120"/>
      </w:pPr>
      <w:r>
        <w:separator/>
      </w:r>
    </w:p>
  </w:footnote>
  <w:footnote w:type="continuationSeparator" w:id="0">
    <w:p w14:paraId="30AA77AE" w14:textId="77777777" w:rsidR="00083FFE" w:rsidRDefault="00083FFE">
      <w:r>
        <w:continuationSeparator/>
      </w:r>
    </w:p>
    <w:p w14:paraId="16BE0C7B" w14:textId="77777777" w:rsidR="00083FFE" w:rsidRDefault="00083FFE"/>
  </w:footnote>
  <w:footnote w:type="continuationNotice" w:id="1">
    <w:p w14:paraId="322E6051" w14:textId="77777777" w:rsidR="00083FFE" w:rsidRDefault="00083FFE">
      <w:pPr>
        <w:spacing w:after="0" w:line="240" w:lineRule="auto"/>
      </w:pPr>
    </w:p>
  </w:footnote>
  <w:footnote w:id="2">
    <w:p w14:paraId="0DCB0692" w14:textId="21DAC2B1" w:rsidR="00EA02FC" w:rsidRDefault="00EA02FC">
      <w:pPr>
        <w:pStyle w:val="FootnoteText"/>
      </w:pPr>
      <w:r>
        <w:rPr>
          <w:rStyle w:val="FootnoteReference"/>
        </w:rPr>
        <w:footnoteRef/>
      </w:r>
      <w:r>
        <w:t xml:space="preserve"> Not all</w:t>
      </w:r>
      <w:r w:rsidR="00482E34">
        <w:t xml:space="preserve"> FRD 24</w:t>
      </w:r>
      <w:r>
        <w:t xml:space="preserve"> indicators are captured in the EDMS, particularly non-quantitative indicators. </w:t>
      </w:r>
      <w:r w:rsidR="00336D99">
        <w:t>For more information, see ‘</w:t>
      </w:r>
      <w:fldSimple w:instr=" REF _Ref137572859 \r ">
        <w:r w:rsidR="00A35ED1" w:rsidRPr="00A35ED1">
          <w:t>3.3</w:t>
        </w:r>
      </w:fldSimple>
      <w:r w:rsidR="00A35ED1" w:rsidRPr="00A35ED1">
        <w:t xml:space="preserve">. </w:t>
      </w:r>
      <w:hyperlink w:anchor="_Environmental_indicators_not" w:history="1">
        <w:r w:rsidR="00336D99" w:rsidRPr="00A35ED1">
          <w:rPr>
            <w:rStyle w:val="Hyperlink"/>
          </w:rPr>
          <w:fldChar w:fldCharType="begin"/>
        </w:r>
        <w:r w:rsidR="00336D99" w:rsidRPr="00A35ED1">
          <w:rPr>
            <w:rStyle w:val="Hyperlink"/>
          </w:rPr>
          <w:instrText xml:space="preserve"> REF _Ref137572755  \* MERGEFORMAT </w:instrText>
        </w:r>
        <w:r w:rsidR="00336D99" w:rsidRPr="00A35ED1">
          <w:rPr>
            <w:rStyle w:val="Hyperlink"/>
          </w:rPr>
          <w:fldChar w:fldCharType="separate"/>
        </w:r>
        <w:r w:rsidR="00A35ED1" w:rsidRPr="00A35ED1">
          <w:rPr>
            <w:rStyle w:val="Hyperlink"/>
          </w:rPr>
          <w:t>Environmental indicators not included in the EDMS</w:t>
        </w:r>
        <w:r w:rsidR="00336D99" w:rsidRPr="00A35ED1">
          <w:rPr>
            <w:rStyle w:val="Hyperlink"/>
          </w:rPr>
          <w:fldChar w:fldCharType="end"/>
        </w:r>
      </w:hyperlink>
      <w:r w:rsidR="00336D99">
        <w:t>’</w:t>
      </w:r>
      <w:r>
        <w:t>.</w:t>
      </w:r>
    </w:p>
  </w:footnote>
  <w:footnote w:id="3">
    <w:p w14:paraId="2D8CFC55" w14:textId="3B51153C" w:rsidR="00702E5A" w:rsidRDefault="00702E5A">
      <w:pPr>
        <w:pStyle w:val="FootnoteText"/>
      </w:pPr>
      <w:r>
        <w:rPr>
          <w:rStyle w:val="FootnoteReference"/>
        </w:rPr>
        <w:footnoteRef/>
      </w:r>
      <w:r>
        <w:t xml:space="preserve"> This list of major retailers is subject to change. </w:t>
      </w:r>
    </w:p>
  </w:footnote>
  <w:footnote w:id="4">
    <w:p w14:paraId="694889D2" w14:textId="4319E1C5" w:rsidR="00702E5A" w:rsidRDefault="00702E5A">
      <w:pPr>
        <w:pStyle w:val="FootnoteText"/>
      </w:pPr>
      <w:r>
        <w:rPr>
          <w:rStyle w:val="FootnoteReference"/>
        </w:rPr>
        <w:footnoteRef/>
      </w:r>
      <w:r>
        <w:t xml:space="preserve"> </w:t>
      </w:r>
      <w:r w:rsidRPr="00702E5A">
        <w:t>This list of major retailers is subject to change.</w:t>
      </w:r>
    </w:p>
  </w:footnote>
  <w:footnote w:id="5">
    <w:p w14:paraId="23F7FEC5" w14:textId="77777777" w:rsidR="00E30AE6" w:rsidRDefault="00E30AE6" w:rsidP="00E30AE6">
      <w:pPr>
        <w:pStyle w:val="FootnoteText"/>
      </w:pPr>
      <w:r>
        <w:rPr>
          <w:rStyle w:val="FootnoteReference"/>
        </w:rPr>
        <w:footnoteRef/>
      </w:r>
      <w:r>
        <w:t xml:space="preserve"> Energy storage systems exclude uninterruptible power systems (UPS).</w:t>
      </w:r>
    </w:p>
  </w:footnote>
  <w:footnote w:id="6">
    <w:p w14:paraId="5964B275" w14:textId="1CE0AA7C" w:rsidR="00573440" w:rsidRDefault="00573440" w:rsidP="00573440">
      <w:pPr>
        <w:pStyle w:val="FootnoteText"/>
      </w:pPr>
      <w:r>
        <w:rPr>
          <w:rStyle w:val="FootnoteReference"/>
        </w:rPr>
        <w:footnoteRef/>
      </w:r>
      <w:r>
        <w:t xml:space="preserve"> </w:t>
      </w:r>
      <w:r w:rsidR="00BA0AD4">
        <w:t>For additional wording suggestions s</w:t>
      </w:r>
      <w:r>
        <w:t xml:space="preserve">ee </w:t>
      </w:r>
      <w:hyperlink r:id="rId1" w:history="1">
        <w:r w:rsidRPr="00F168A0">
          <w:rPr>
            <w:rStyle w:val="Hyperlink"/>
          </w:rPr>
          <w:t xml:space="preserve">VHBA’s Guidelines for sustainability in capital works </w:t>
        </w:r>
        <w:r w:rsidR="00F168A0" w:rsidRPr="00F168A0">
          <w:rPr>
            <w:rStyle w:val="Hyperlink"/>
          </w:rPr>
          <w:t>webpage</w:t>
        </w:r>
      </w:hyperlink>
      <w:r w:rsidR="00F168A0">
        <w:t xml:space="preserve"> </w:t>
      </w:r>
      <w:r>
        <w:t>&lt;</w:t>
      </w:r>
      <w:r w:rsidRPr="00492204">
        <w:t>https://www.vhba.vic.gov.au/guidelines-sustainability-capital-works</w:t>
      </w:r>
      <w:r>
        <w:t>&gt;</w:t>
      </w:r>
      <w:r w:rsidR="005D7A04">
        <w:t>.</w:t>
      </w:r>
    </w:p>
  </w:footnote>
  <w:footnote w:id="7">
    <w:p w14:paraId="1CE2405E" w14:textId="624ADE70" w:rsidR="00B4134B" w:rsidRDefault="00B4134B">
      <w:pPr>
        <w:pStyle w:val="FootnoteText"/>
      </w:pPr>
      <w:r>
        <w:rPr>
          <w:rStyle w:val="FootnoteReference"/>
        </w:rPr>
        <w:footnoteRef/>
      </w:r>
      <w:r>
        <w:t xml:space="preserve"> The department previously excluded clinical waste when calculating the recycling rate. </w:t>
      </w:r>
      <w:r w:rsidR="00A37B0A">
        <w:t>To meet FRD 24, c</w:t>
      </w:r>
      <w:r>
        <w:t>linical waste is now included in the recycling rate</w:t>
      </w:r>
      <w:r w:rsidR="00A37B0A">
        <w:t>,</w:t>
      </w:r>
      <w:r>
        <w:t xml:space="preserve"> </w:t>
      </w:r>
      <w:r w:rsidR="00A37B0A">
        <w:t>regardless of whether it is incinerated or chemically treated before landfill</w:t>
      </w:r>
      <w:r>
        <w:t>. This change is likely to reduce previously reported recycling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B2"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A43" w14:textId="27370708" w:rsidR="00562811" w:rsidRPr="0051568D" w:rsidRDefault="009E4FC1" w:rsidP="0017674D">
    <w:pPr>
      <w:pStyle w:val="Header"/>
    </w:pPr>
    <w:r w:rsidRPr="009E4FC1">
      <w:t>Public environmental reporting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5E7D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05F9E"/>
    <w:multiLevelType w:val="hybridMultilevel"/>
    <w:tmpl w:val="F1CE0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2868DA"/>
    <w:multiLevelType w:val="multilevel"/>
    <w:tmpl w:val="06ECC862"/>
    <w:lvl w:ilvl="0">
      <w:start w:val="1"/>
      <w:numFmt w:val="bullet"/>
      <w:lvlText w:val="o"/>
      <w:lvlJc w:val="left"/>
      <w:pPr>
        <w:ind w:left="587" w:hanging="227"/>
      </w:pPr>
      <w:rPr>
        <w:rFonts w:ascii="Courier New" w:hAnsi="Courier New" w:cs="Courier New" w:hint="default"/>
      </w:rPr>
    </w:lvl>
    <w:lvl w:ilvl="1">
      <w:start w:val="1"/>
      <w:numFmt w:val="bullet"/>
      <w:lvlText w:val=""/>
      <w:lvlJc w:val="left"/>
      <w:pPr>
        <w:ind w:left="947" w:hanging="360"/>
      </w:pPr>
      <w:rPr>
        <w:rFonts w:ascii="Symbol" w:hAnsi="Symbol"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3" w15:restartNumberingAfterBreak="0">
    <w:nsid w:val="02EC3AD4"/>
    <w:multiLevelType w:val="hybridMultilevel"/>
    <w:tmpl w:val="3460D200"/>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A50056"/>
    <w:multiLevelType w:val="multilevel"/>
    <w:tmpl w:val="0AAE1EBA"/>
    <w:numStyleLink w:val="ZZNumbersloweralpha"/>
  </w:abstractNum>
  <w:abstractNum w:abstractNumId="5" w15:restartNumberingAfterBreak="0">
    <w:nsid w:val="08AA16B2"/>
    <w:multiLevelType w:val="hybridMultilevel"/>
    <w:tmpl w:val="9F8C3FDA"/>
    <w:lvl w:ilvl="0" w:tplc="ECF29ED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0A982122"/>
    <w:multiLevelType w:val="hybridMultilevel"/>
    <w:tmpl w:val="9B385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BC3768D"/>
    <w:multiLevelType w:val="multilevel"/>
    <w:tmpl w:val="046268CC"/>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9" w15:restartNumberingAfterBreak="0">
    <w:nsid w:val="0E3D6337"/>
    <w:multiLevelType w:val="hybridMultilevel"/>
    <w:tmpl w:val="0B809D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9036F8"/>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C4579F"/>
    <w:multiLevelType w:val="hybridMultilevel"/>
    <w:tmpl w:val="806E668E"/>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AE690B"/>
    <w:multiLevelType w:val="multilevel"/>
    <w:tmpl w:val="D42C4070"/>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3" w15:restartNumberingAfterBreak="0">
    <w:nsid w:val="144E1E60"/>
    <w:multiLevelType w:val="hybridMultilevel"/>
    <w:tmpl w:val="17D8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566BD0"/>
    <w:multiLevelType w:val="hybridMultilevel"/>
    <w:tmpl w:val="8D80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1155E1"/>
    <w:multiLevelType w:val="hybridMultilevel"/>
    <w:tmpl w:val="F03CB310"/>
    <w:lvl w:ilvl="0" w:tplc="ECF29E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661A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E72844"/>
    <w:multiLevelType w:val="hybridMultilevel"/>
    <w:tmpl w:val="CB1EF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D10BAF"/>
    <w:multiLevelType w:val="hybridMultilevel"/>
    <w:tmpl w:val="DDDA6CE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856BCB"/>
    <w:multiLevelType w:val="hybridMultilevel"/>
    <w:tmpl w:val="3F949D7A"/>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824DB6"/>
    <w:multiLevelType w:val="hybridMultilevel"/>
    <w:tmpl w:val="0324F38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E2811EC"/>
    <w:multiLevelType w:val="hybridMultilevel"/>
    <w:tmpl w:val="9F9251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AA5BFB"/>
    <w:multiLevelType w:val="multilevel"/>
    <w:tmpl w:val="045A3E32"/>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21F2703"/>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890278"/>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2F4CEB"/>
    <w:multiLevelType w:val="multilevel"/>
    <w:tmpl w:val="6A5230FE"/>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6" w15:restartNumberingAfterBreak="0">
    <w:nsid w:val="259C7DDC"/>
    <w:multiLevelType w:val="hybridMultilevel"/>
    <w:tmpl w:val="6BD6787E"/>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82708D6"/>
    <w:multiLevelType w:val="hybridMultilevel"/>
    <w:tmpl w:val="69BCD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8671ED8"/>
    <w:multiLevelType w:val="multilevel"/>
    <w:tmpl w:val="F086F3F0"/>
    <w:lvl w:ilvl="0">
      <w:start w:val="1"/>
      <w:numFmt w:val="bullet"/>
      <w:lvlText w:val=""/>
      <w:lvlJc w:val="left"/>
      <w:pPr>
        <w:ind w:left="947" w:hanging="227"/>
      </w:pPr>
      <w:rPr>
        <w:rFonts w:ascii="Symbol" w:hAnsi="Symbol" w:hint="default"/>
      </w:rPr>
    </w:lvl>
    <w:lvl w:ilvl="1">
      <w:start w:val="1"/>
      <w:numFmt w:val="bullet"/>
      <w:lvlRestart w:val="0"/>
      <w:lvlText w:val="–"/>
      <w:lvlJc w:val="left"/>
      <w:pPr>
        <w:tabs>
          <w:tab w:val="num" w:pos="947"/>
        </w:tabs>
        <w:ind w:left="1174" w:hanging="227"/>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9" w15:restartNumberingAfterBreak="0">
    <w:nsid w:val="2CF60B30"/>
    <w:multiLevelType w:val="multilevel"/>
    <w:tmpl w:val="34589E9A"/>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bullet"/>
      <w:lvlText w:val=""/>
      <w:lvlJc w:val="left"/>
      <w:pPr>
        <w:ind w:left="720" w:hanging="360"/>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30A72454"/>
    <w:multiLevelType w:val="hybridMultilevel"/>
    <w:tmpl w:val="B4C6956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288480F"/>
    <w:multiLevelType w:val="hybridMultilevel"/>
    <w:tmpl w:val="40B25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6ED6FB6"/>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4F1A23"/>
    <w:multiLevelType w:val="hybridMultilevel"/>
    <w:tmpl w:val="112AD912"/>
    <w:lvl w:ilvl="0" w:tplc="ECF29ED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AFE5B1E"/>
    <w:multiLevelType w:val="multilevel"/>
    <w:tmpl w:val="92902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CF346E"/>
    <w:multiLevelType w:val="hybridMultilevel"/>
    <w:tmpl w:val="34E4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C8B6747"/>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3EF049D0"/>
    <w:multiLevelType w:val="multilevel"/>
    <w:tmpl w:val="6FAEDC46"/>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0" w15:restartNumberingAfterBreak="0">
    <w:nsid w:val="3F154860"/>
    <w:multiLevelType w:val="multilevel"/>
    <w:tmpl w:val="636EE100"/>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1" w15:restartNumberingAfterBreak="0">
    <w:nsid w:val="40B82327"/>
    <w:multiLevelType w:val="multilevel"/>
    <w:tmpl w:val="752CA156"/>
    <w:lvl w:ilvl="0">
      <w:start w:val="1"/>
      <w:numFmt w:val="bullet"/>
      <w:lvlText w:val=""/>
      <w:lvlJc w:val="left"/>
      <w:pPr>
        <w:ind w:left="852" w:hanging="284"/>
      </w:pPr>
      <w:rPr>
        <w:rFonts w:ascii="Symbol" w:hAnsi="Symbol" w:hint="default"/>
      </w:rPr>
    </w:lvl>
    <w:lvl w:ilvl="1">
      <w:start w:val="1"/>
      <w:numFmt w:val="bullet"/>
      <w:lvlText w:val=""/>
      <w:lvlJc w:val="left"/>
      <w:pPr>
        <w:ind w:left="1212" w:hanging="360"/>
      </w:pPr>
      <w:rPr>
        <w:rFonts w:ascii="Symbol" w:hAnsi="Symbol" w:hint="default"/>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42" w15:restartNumberingAfterBreak="0">
    <w:nsid w:val="41B1683C"/>
    <w:multiLevelType w:val="hybridMultilevel"/>
    <w:tmpl w:val="3E86FB9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21A0F1B"/>
    <w:multiLevelType w:val="hybridMultilevel"/>
    <w:tmpl w:val="4AA041E2"/>
    <w:lvl w:ilvl="0" w:tplc="ECF29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504AA8"/>
    <w:multiLevelType w:val="hybridMultilevel"/>
    <w:tmpl w:val="B96855FC"/>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2F50610"/>
    <w:multiLevelType w:val="multilevel"/>
    <w:tmpl w:val="E36C5BBC"/>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6" w15:restartNumberingAfterBreak="0">
    <w:nsid w:val="43486BBA"/>
    <w:multiLevelType w:val="hybridMultilevel"/>
    <w:tmpl w:val="1604E340"/>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355624F"/>
    <w:multiLevelType w:val="hybridMultilevel"/>
    <w:tmpl w:val="E05EF8AE"/>
    <w:lvl w:ilvl="0" w:tplc="ECF29E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3F42051"/>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4F24B26"/>
    <w:multiLevelType w:val="hybridMultilevel"/>
    <w:tmpl w:val="39A4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8A76DC3"/>
    <w:multiLevelType w:val="hybridMultilevel"/>
    <w:tmpl w:val="414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99355A"/>
    <w:multiLevelType w:val="multilevel"/>
    <w:tmpl w:val="DBEA57F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4ADB6D50"/>
    <w:multiLevelType w:val="multilevel"/>
    <w:tmpl w:val="A184E6F8"/>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bullet"/>
      <w:lvlText w:val=""/>
      <w:lvlJc w:val="left"/>
      <w:pPr>
        <w:ind w:left="927" w:hanging="360"/>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4DEB0811"/>
    <w:multiLevelType w:val="hybridMultilevel"/>
    <w:tmpl w:val="55005EB6"/>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EAC5E16"/>
    <w:multiLevelType w:val="hybridMultilevel"/>
    <w:tmpl w:val="9E0EFBDC"/>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1CC49F3"/>
    <w:multiLevelType w:val="hybridMultilevel"/>
    <w:tmpl w:val="8744E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2AB2B1B"/>
    <w:multiLevelType w:val="hybridMultilevel"/>
    <w:tmpl w:val="AC32A2B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4080A6E"/>
    <w:multiLevelType w:val="hybridMultilevel"/>
    <w:tmpl w:val="B3FA33A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0" w15:restartNumberingAfterBreak="0">
    <w:nsid w:val="55E63236"/>
    <w:multiLevelType w:val="hybridMultilevel"/>
    <w:tmpl w:val="DBB43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7134945"/>
    <w:multiLevelType w:val="hybridMultilevel"/>
    <w:tmpl w:val="4C76AFB0"/>
    <w:lvl w:ilvl="0" w:tplc="ECF29ED4">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62" w15:restartNumberingAfterBreak="0">
    <w:nsid w:val="57617C4D"/>
    <w:multiLevelType w:val="hybridMultilevel"/>
    <w:tmpl w:val="D6B8F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91245DB"/>
    <w:multiLevelType w:val="hybridMultilevel"/>
    <w:tmpl w:val="46DE345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4" w15:restartNumberingAfterBreak="0">
    <w:nsid w:val="59E27FBE"/>
    <w:multiLevelType w:val="hybridMultilevel"/>
    <w:tmpl w:val="F544DFB0"/>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B20305F"/>
    <w:multiLevelType w:val="hybridMultilevel"/>
    <w:tmpl w:val="B5D4172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EBA46FB"/>
    <w:multiLevelType w:val="hybridMultilevel"/>
    <w:tmpl w:val="A59867D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F18704A"/>
    <w:multiLevelType w:val="hybridMultilevel"/>
    <w:tmpl w:val="2E7495E6"/>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F54645F"/>
    <w:multiLevelType w:val="hybridMultilevel"/>
    <w:tmpl w:val="A1D2912C"/>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FA75945"/>
    <w:multiLevelType w:val="hybridMultilevel"/>
    <w:tmpl w:val="10701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1820611"/>
    <w:multiLevelType w:val="hybridMultilevel"/>
    <w:tmpl w:val="F8FEF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1B63E55"/>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1EA1C2E"/>
    <w:multiLevelType w:val="hybridMultilevel"/>
    <w:tmpl w:val="BFBE60B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27F6C27"/>
    <w:multiLevelType w:val="multilevel"/>
    <w:tmpl w:val="F7BEEA16"/>
    <w:lvl w:ilvl="0">
      <w:start w:val="1"/>
      <w:numFmt w:val="bullet"/>
      <w:lvlText w:val=""/>
      <w:lvlJc w:val="left"/>
      <w:pPr>
        <w:ind w:left="1004" w:hanging="437"/>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none"/>
      <w:lvlRestart w:val="0"/>
      <w:lvlText w:val=""/>
      <w:lvlJc w:val="left"/>
      <w:pPr>
        <w:ind w:left="720" w:firstLine="0"/>
      </w:pPr>
      <w:rPr>
        <w:rFonts w:hint="default"/>
      </w:rPr>
    </w:lvl>
    <w:lvl w:ilvl="3">
      <w:start w:val="1"/>
      <w:numFmt w:val="bullet"/>
      <w:lvlText w:val=""/>
      <w:lvlJc w:val="left"/>
      <w:pPr>
        <w:ind w:left="1647" w:hanging="360"/>
      </w:pPr>
      <w:rPr>
        <w:rFonts w:ascii="Symbol" w:hAnsi="Symbol"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7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5" w15:restartNumberingAfterBreak="0">
    <w:nsid w:val="63590A91"/>
    <w:multiLevelType w:val="hybridMultilevel"/>
    <w:tmpl w:val="0192A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35A3AC3"/>
    <w:multiLevelType w:val="hybridMultilevel"/>
    <w:tmpl w:val="10F83CF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5F41B12"/>
    <w:multiLevelType w:val="hybridMultilevel"/>
    <w:tmpl w:val="D6307896"/>
    <w:lvl w:ilvl="0" w:tplc="ECF29ED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8" w15:restartNumberingAfterBreak="0">
    <w:nsid w:val="670B64E2"/>
    <w:multiLevelType w:val="hybridMultilevel"/>
    <w:tmpl w:val="FEAA8592"/>
    <w:lvl w:ilvl="0" w:tplc="ECF29ED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9" w15:restartNumberingAfterBreak="0">
    <w:nsid w:val="67B426B7"/>
    <w:multiLevelType w:val="hybridMultilevel"/>
    <w:tmpl w:val="C3C6114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7E45561"/>
    <w:multiLevelType w:val="hybridMultilevel"/>
    <w:tmpl w:val="3F8C5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8764A84"/>
    <w:multiLevelType w:val="hybridMultilevel"/>
    <w:tmpl w:val="DE8E7B1E"/>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8F12430"/>
    <w:multiLevelType w:val="hybridMultilevel"/>
    <w:tmpl w:val="18C48C4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9B762F2"/>
    <w:multiLevelType w:val="hybridMultilevel"/>
    <w:tmpl w:val="6DD0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DF6B85"/>
    <w:multiLevelType w:val="hybridMultilevel"/>
    <w:tmpl w:val="35D0F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8A6D18"/>
    <w:multiLevelType w:val="hybridMultilevel"/>
    <w:tmpl w:val="1EE819B6"/>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D0C437C"/>
    <w:multiLevelType w:val="hybridMultilevel"/>
    <w:tmpl w:val="781EAFF6"/>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F9B5C7F"/>
    <w:multiLevelType w:val="hybridMultilevel"/>
    <w:tmpl w:val="6D9EA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2D51D8D"/>
    <w:multiLevelType w:val="hybridMultilevel"/>
    <w:tmpl w:val="9FB2EBFE"/>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39B3FE8"/>
    <w:multiLevelType w:val="multilevel"/>
    <w:tmpl w:val="A40AA290"/>
    <w:lvl w:ilvl="0">
      <w:start w:val="1"/>
      <w:numFmt w:val="bullet"/>
      <w:lvlText w:val="•"/>
      <w:lvlJc w:val="left"/>
      <w:pPr>
        <w:ind w:left="227" w:hanging="227"/>
      </w:pPr>
      <w:rPr>
        <w:rFonts w:ascii="Calibri" w:hAnsi="Calibri" w:hint="default"/>
      </w:rPr>
    </w:lvl>
    <w:lvl w:ilvl="1">
      <w:start w:val="1"/>
      <w:numFmt w:val="bullet"/>
      <w:lvlText w:val=""/>
      <w:lvlJc w:val="left"/>
      <w:pPr>
        <w:ind w:left="58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0" w15:restartNumberingAfterBreak="0">
    <w:nsid w:val="7424486D"/>
    <w:multiLevelType w:val="hybridMultilevel"/>
    <w:tmpl w:val="499EA4A0"/>
    <w:lvl w:ilvl="0" w:tplc="ECF29ED4">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1" w15:restartNumberingAfterBreak="0">
    <w:nsid w:val="74FA7868"/>
    <w:multiLevelType w:val="hybridMultilevel"/>
    <w:tmpl w:val="1DF81F34"/>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73D426E"/>
    <w:multiLevelType w:val="multilevel"/>
    <w:tmpl w:val="66C0488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7512F51"/>
    <w:multiLevelType w:val="hybridMultilevel"/>
    <w:tmpl w:val="D54C3AEE"/>
    <w:lvl w:ilvl="0" w:tplc="ECF29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9063AB0"/>
    <w:multiLevelType w:val="multilevel"/>
    <w:tmpl w:val="C6BA5FD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5" w15:restartNumberingAfterBreak="0">
    <w:nsid w:val="796B50B5"/>
    <w:multiLevelType w:val="hybridMultilevel"/>
    <w:tmpl w:val="0FD814F2"/>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E7E6F90"/>
    <w:multiLevelType w:val="hybridMultilevel"/>
    <w:tmpl w:val="811A6AEA"/>
    <w:lvl w:ilvl="0" w:tplc="ECF29E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F9C505B"/>
    <w:multiLevelType w:val="multilevel"/>
    <w:tmpl w:val="E8C2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977005">
    <w:abstractNumId w:val="37"/>
  </w:num>
  <w:num w:numId="2" w16cid:durableId="1093865511">
    <w:abstractNumId w:val="59"/>
  </w:num>
  <w:num w:numId="3" w16cid:durableId="1248341505">
    <w:abstractNumId w:val="58"/>
  </w:num>
  <w:num w:numId="4" w16cid:durableId="1996952751">
    <w:abstractNumId w:val="74"/>
  </w:num>
  <w:num w:numId="5" w16cid:durableId="345327303">
    <w:abstractNumId w:val="38"/>
  </w:num>
  <w:num w:numId="6" w16cid:durableId="1581523200">
    <w:abstractNumId w:val="7"/>
  </w:num>
  <w:num w:numId="7" w16cid:durableId="1028724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1229739">
    <w:abstractNumId w:val="89"/>
  </w:num>
  <w:num w:numId="9" w16cid:durableId="704915537">
    <w:abstractNumId w:val="34"/>
  </w:num>
  <w:num w:numId="10" w16cid:durableId="15082356">
    <w:abstractNumId w:val="97"/>
  </w:num>
  <w:num w:numId="11" w16cid:durableId="234554520">
    <w:abstractNumId w:val="12"/>
  </w:num>
  <w:num w:numId="12" w16cid:durableId="1270163781">
    <w:abstractNumId w:val="77"/>
  </w:num>
  <w:num w:numId="13" w16cid:durableId="1366636286">
    <w:abstractNumId w:val="78"/>
  </w:num>
  <w:num w:numId="14" w16cid:durableId="751200585">
    <w:abstractNumId w:val="61"/>
  </w:num>
  <w:num w:numId="15" w16cid:durableId="2084138264">
    <w:abstractNumId w:val="5"/>
  </w:num>
  <w:num w:numId="16" w16cid:durableId="711731184">
    <w:abstractNumId w:val="94"/>
  </w:num>
  <w:num w:numId="17" w16cid:durableId="1546526623">
    <w:abstractNumId w:val="52"/>
  </w:num>
  <w:num w:numId="18" w16cid:durableId="2066100569">
    <w:abstractNumId w:val="51"/>
  </w:num>
  <w:num w:numId="19" w16cid:durableId="879048324">
    <w:abstractNumId w:val="90"/>
  </w:num>
  <w:num w:numId="20" w16cid:durableId="148206577">
    <w:abstractNumId w:val="1"/>
  </w:num>
  <w:num w:numId="21" w16cid:durableId="836576980">
    <w:abstractNumId w:val="49"/>
  </w:num>
  <w:num w:numId="22" w16cid:durableId="206335769">
    <w:abstractNumId w:val="75"/>
  </w:num>
  <w:num w:numId="23" w16cid:durableId="15426702">
    <w:abstractNumId w:val="80"/>
  </w:num>
  <w:num w:numId="24" w16cid:durableId="1802068481">
    <w:abstractNumId w:val="13"/>
  </w:num>
  <w:num w:numId="25" w16cid:durableId="880939308">
    <w:abstractNumId w:val="2"/>
  </w:num>
  <w:num w:numId="26" w16cid:durableId="1203785081">
    <w:abstractNumId w:val="72"/>
  </w:num>
  <w:num w:numId="27" w16cid:durableId="1497648989">
    <w:abstractNumId w:val="84"/>
  </w:num>
  <w:num w:numId="28" w16cid:durableId="104543568">
    <w:abstractNumId w:val="28"/>
  </w:num>
  <w:num w:numId="29" w16cid:durableId="522981231">
    <w:abstractNumId w:val="0"/>
  </w:num>
  <w:num w:numId="30" w16cid:durableId="1692492355">
    <w:abstractNumId w:val="15"/>
  </w:num>
  <w:num w:numId="31" w16cid:durableId="1573126577">
    <w:abstractNumId w:val="17"/>
  </w:num>
  <w:num w:numId="32" w16cid:durableId="1693998104">
    <w:abstractNumId w:val="50"/>
  </w:num>
  <w:num w:numId="33" w16cid:durableId="1082486034">
    <w:abstractNumId w:val="14"/>
  </w:num>
  <w:num w:numId="34" w16cid:durableId="1990328798">
    <w:abstractNumId w:val="70"/>
  </w:num>
  <w:num w:numId="35" w16cid:durableId="943927511">
    <w:abstractNumId w:val="83"/>
  </w:num>
  <w:num w:numId="36" w16cid:durableId="702900710">
    <w:abstractNumId w:val="91"/>
  </w:num>
  <w:num w:numId="37" w16cid:durableId="1921328636">
    <w:abstractNumId w:val="81"/>
  </w:num>
  <w:num w:numId="38" w16cid:durableId="1897932000">
    <w:abstractNumId w:val="19"/>
  </w:num>
  <w:num w:numId="39" w16cid:durableId="1519394997">
    <w:abstractNumId w:val="26"/>
  </w:num>
  <w:num w:numId="40" w16cid:durableId="102040526">
    <w:abstractNumId w:val="96"/>
  </w:num>
  <w:num w:numId="41" w16cid:durableId="354308744">
    <w:abstractNumId w:val="11"/>
  </w:num>
  <w:num w:numId="42" w16cid:durableId="1696155045">
    <w:abstractNumId w:val="56"/>
  </w:num>
  <w:num w:numId="43" w16cid:durableId="543761483">
    <w:abstractNumId w:val="44"/>
  </w:num>
  <w:num w:numId="44" w16cid:durableId="2025352874">
    <w:abstractNumId w:val="57"/>
  </w:num>
  <w:num w:numId="45" w16cid:durableId="1380477698">
    <w:abstractNumId w:val="66"/>
  </w:num>
  <w:num w:numId="46" w16cid:durableId="1757818489">
    <w:abstractNumId w:val="68"/>
  </w:num>
  <w:num w:numId="47" w16cid:durableId="93745703">
    <w:abstractNumId w:val="67"/>
  </w:num>
  <w:num w:numId="48" w16cid:durableId="305670363">
    <w:abstractNumId w:val="53"/>
  </w:num>
  <w:num w:numId="49" w16cid:durableId="303052256">
    <w:abstractNumId w:val="85"/>
  </w:num>
  <w:num w:numId="50" w16cid:durableId="523641665">
    <w:abstractNumId w:val="65"/>
  </w:num>
  <w:num w:numId="51" w16cid:durableId="987782461">
    <w:abstractNumId w:val="88"/>
  </w:num>
  <w:num w:numId="52" w16cid:durableId="1033113834">
    <w:abstractNumId w:val="86"/>
  </w:num>
  <w:num w:numId="53" w16cid:durableId="281814197">
    <w:abstractNumId w:val="54"/>
  </w:num>
  <w:num w:numId="54" w16cid:durableId="2061782447">
    <w:abstractNumId w:val="79"/>
  </w:num>
  <w:num w:numId="55" w16cid:durableId="1935478146">
    <w:abstractNumId w:val="82"/>
  </w:num>
  <w:num w:numId="56" w16cid:durableId="2029788969">
    <w:abstractNumId w:val="30"/>
  </w:num>
  <w:num w:numId="57" w16cid:durableId="587347015">
    <w:abstractNumId w:val="64"/>
  </w:num>
  <w:num w:numId="58" w16cid:durableId="1019550306">
    <w:abstractNumId w:val="76"/>
  </w:num>
  <w:num w:numId="59" w16cid:durableId="54935439">
    <w:abstractNumId w:val="95"/>
  </w:num>
  <w:num w:numId="60" w16cid:durableId="233664687">
    <w:abstractNumId w:val="42"/>
  </w:num>
  <w:num w:numId="61" w16cid:durableId="1174490843">
    <w:abstractNumId w:val="46"/>
  </w:num>
  <w:num w:numId="62" w16cid:durableId="2060202232">
    <w:abstractNumId w:val="20"/>
  </w:num>
  <w:num w:numId="63" w16cid:durableId="1554581321">
    <w:abstractNumId w:val="18"/>
  </w:num>
  <w:num w:numId="64" w16cid:durableId="1540583685">
    <w:abstractNumId w:val="29"/>
  </w:num>
  <w:num w:numId="65" w16cid:durableId="800028890">
    <w:abstractNumId w:val="63"/>
  </w:num>
  <w:num w:numId="66" w16cid:durableId="1125469114">
    <w:abstractNumId w:val="47"/>
  </w:num>
  <w:num w:numId="67" w16cid:durableId="1455951807">
    <w:abstractNumId w:val="31"/>
  </w:num>
  <w:num w:numId="68" w16cid:durableId="2007509199">
    <w:abstractNumId w:val="43"/>
  </w:num>
  <w:num w:numId="69" w16cid:durableId="886916939">
    <w:abstractNumId w:val="35"/>
  </w:num>
  <w:num w:numId="70" w16cid:durableId="784351842">
    <w:abstractNumId w:val="93"/>
  </w:num>
  <w:num w:numId="71" w16cid:durableId="1854149285">
    <w:abstractNumId w:val="3"/>
  </w:num>
  <w:num w:numId="72" w16cid:durableId="1376395612">
    <w:abstractNumId w:val="6"/>
  </w:num>
  <w:num w:numId="73" w16cid:durableId="1933854930">
    <w:abstractNumId w:val="73"/>
  </w:num>
  <w:num w:numId="74" w16cid:durableId="1419011639">
    <w:abstractNumId w:val="33"/>
  </w:num>
  <w:num w:numId="75" w16cid:durableId="1619067238">
    <w:abstractNumId w:val="55"/>
  </w:num>
  <w:num w:numId="76" w16cid:durableId="2010400201">
    <w:abstractNumId w:val="87"/>
  </w:num>
  <w:num w:numId="77" w16cid:durableId="1688754919">
    <w:abstractNumId w:val="21"/>
  </w:num>
  <w:num w:numId="78" w16cid:durableId="1269390751">
    <w:abstractNumId w:val="69"/>
  </w:num>
  <w:num w:numId="79" w16cid:durableId="1725252504">
    <w:abstractNumId w:val="62"/>
  </w:num>
  <w:num w:numId="80" w16cid:durableId="1138375386">
    <w:abstractNumId w:val="9"/>
  </w:num>
  <w:num w:numId="81" w16cid:durableId="1439834532">
    <w:abstractNumId w:val="41"/>
  </w:num>
  <w:num w:numId="82" w16cid:durableId="496503796">
    <w:abstractNumId w:val="25"/>
  </w:num>
  <w:num w:numId="83" w16cid:durableId="830370712">
    <w:abstractNumId w:val="45"/>
  </w:num>
  <w:num w:numId="84" w16cid:durableId="1121222047">
    <w:abstractNumId w:val="8"/>
  </w:num>
  <w:num w:numId="85" w16cid:durableId="1204946961">
    <w:abstractNumId w:val="40"/>
  </w:num>
  <w:num w:numId="86" w16cid:durableId="96801727">
    <w:abstractNumId w:val="39"/>
  </w:num>
  <w:num w:numId="87" w16cid:durableId="176387198">
    <w:abstractNumId w:val="60"/>
  </w:num>
  <w:num w:numId="88" w16cid:durableId="1686974580">
    <w:abstractNumId w:val="16"/>
  </w:num>
  <w:num w:numId="89" w16cid:durableId="677392670">
    <w:abstractNumId w:val="22"/>
  </w:num>
  <w:num w:numId="90" w16cid:durableId="1554459794">
    <w:abstractNumId w:val="23"/>
  </w:num>
  <w:num w:numId="91" w16cid:durableId="351762137">
    <w:abstractNumId w:val="48"/>
  </w:num>
  <w:num w:numId="92" w16cid:durableId="2086149986">
    <w:abstractNumId w:val="32"/>
  </w:num>
  <w:num w:numId="93" w16cid:durableId="1301034080">
    <w:abstractNumId w:val="92"/>
  </w:num>
  <w:num w:numId="94" w16cid:durableId="2004697878">
    <w:abstractNumId w:val="71"/>
  </w:num>
  <w:num w:numId="95" w16cid:durableId="1069423468">
    <w:abstractNumId w:val="36"/>
  </w:num>
  <w:num w:numId="96" w16cid:durableId="1540623447">
    <w:abstractNumId w:val="24"/>
  </w:num>
  <w:num w:numId="97" w16cid:durableId="1626497320">
    <w:abstractNumId w:val="10"/>
  </w:num>
  <w:num w:numId="98" w16cid:durableId="1991054771">
    <w:abstractNumId w:val="2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07C4"/>
    <w:rsid w:val="00000DB2"/>
    <w:rsid w:val="000011BA"/>
    <w:rsid w:val="00001D03"/>
    <w:rsid w:val="0000225F"/>
    <w:rsid w:val="00002D68"/>
    <w:rsid w:val="000032FE"/>
    <w:rsid w:val="000033F7"/>
    <w:rsid w:val="00003403"/>
    <w:rsid w:val="00003A3A"/>
    <w:rsid w:val="00005347"/>
    <w:rsid w:val="000063D4"/>
    <w:rsid w:val="000072B6"/>
    <w:rsid w:val="0001021B"/>
    <w:rsid w:val="00010496"/>
    <w:rsid w:val="00011AD0"/>
    <w:rsid w:val="00011D89"/>
    <w:rsid w:val="00011E57"/>
    <w:rsid w:val="000125FD"/>
    <w:rsid w:val="00012BC3"/>
    <w:rsid w:val="00012D47"/>
    <w:rsid w:val="00012D7F"/>
    <w:rsid w:val="00013144"/>
    <w:rsid w:val="00014641"/>
    <w:rsid w:val="000154FD"/>
    <w:rsid w:val="00015BA8"/>
    <w:rsid w:val="00016B83"/>
    <w:rsid w:val="00017BA3"/>
    <w:rsid w:val="00021C00"/>
    <w:rsid w:val="00021E13"/>
    <w:rsid w:val="00021E6A"/>
    <w:rsid w:val="00021F00"/>
    <w:rsid w:val="00022271"/>
    <w:rsid w:val="0002238D"/>
    <w:rsid w:val="00023322"/>
    <w:rsid w:val="000235E8"/>
    <w:rsid w:val="000239F4"/>
    <w:rsid w:val="00023BA6"/>
    <w:rsid w:val="00024249"/>
    <w:rsid w:val="00024485"/>
    <w:rsid w:val="00024687"/>
    <w:rsid w:val="00024D89"/>
    <w:rsid w:val="000250B6"/>
    <w:rsid w:val="000259C9"/>
    <w:rsid w:val="00025C1F"/>
    <w:rsid w:val="00025D8C"/>
    <w:rsid w:val="00026540"/>
    <w:rsid w:val="00026899"/>
    <w:rsid w:val="00027454"/>
    <w:rsid w:val="00027B38"/>
    <w:rsid w:val="00027C63"/>
    <w:rsid w:val="00027D6D"/>
    <w:rsid w:val="00027DF1"/>
    <w:rsid w:val="000304CF"/>
    <w:rsid w:val="00030CDD"/>
    <w:rsid w:val="00030EC8"/>
    <w:rsid w:val="000326D1"/>
    <w:rsid w:val="00033D81"/>
    <w:rsid w:val="00033DC9"/>
    <w:rsid w:val="00034607"/>
    <w:rsid w:val="00036268"/>
    <w:rsid w:val="000368EF"/>
    <w:rsid w:val="00037366"/>
    <w:rsid w:val="000374D2"/>
    <w:rsid w:val="0003766A"/>
    <w:rsid w:val="00040A8B"/>
    <w:rsid w:val="00041558"/>
    <w:rsid w:val="00041B69"/>
    <w:rsid w:val="00041BF0"/>
    <w:rsid w:val="00041EAB"/>
    <w:rsid w:val="00042189"/>
    <w:rsid w:val="00042AC0"/>
    <w:rsid w:val="00042C47"/>
    <w:rsid w:val="00042C8A"/>
    <w:rsid w:val="00043CD1"/>
    <w:rsid w:val="000449C7"/>
    <w:rsid w:val="00044B36"/>
    <w:rsid w:val="00044DDD"/>
    <w:rsid w:val="0004536B"/>
    <w:rsid w:val="00045516"/>
    <w:rsid w:val="00045CC5"/>
    <w:rsid w:val="00046B68"/>
    <w:rsid w:val="00046E87"/>
    <w:rsid w:val="0005083B"/>
    <w:rsid w:val="00051D0D"/>
    <w:rsid w:val="00051D1B"/>
    <w:rsid w:val="000527DD"/>
    <w:rsid w:val="00052AE9"/>
    <w:rsid w:val="00053A1A"/>
    <w:rsid w:val="00053D15"/>
    <w:rsid w:val="00054560"/>
    <w:rsid w:val="00054CC3"/>
    <w:rsid w:val="00055FB2"/>
    <w:rsid w:val="000561DE"/>
    <w:rsid w:val="00056EC4"/>
    <w:rsid w:val="00056FE5"/>
    <w:rsid w:val="0005723C"/>
    <w:rsid w:val="0005786B"/>
    <w:rsid w:val="000578B2"/>
    <w:rsid w:val="00057F5B"/>
    <w:rsid w:val="0006047C"/>
    <w:rsid w:val="00060959"/>
    <w:rsid w:val="00060C8F"/>
    <w:rsid w:val="00061148"/>
    <w:rsid w:val="0006298A"/>
    <w:rsid w:val="00064D69"/>
    <w:rsid w:val="000652E4"/>
    <w:rsid w:val="00065682"/>
    <w:rsid w:val="00065F08"/>
    <w:rsid w:val="000663CD"/>
    <w:rsid w:val="00066C60"/>
    <w:rsid w:val="00067F3A"/>
    <w:rsid w:val="000706C7"/>
    <w:rsid w:val="00071C7E"/>
    <w:rsid w:val="00073251"/>
    <w:rsid w:val="000733FE"/>
    <w:rsid w:val="00074219"/>
    <w:rsid w:val="000742B1"/>
    <w:rsid w:val="00074ED5"/>
    <w:rsid w:val="00081255"/>
    <w:rsid w:val="0008141F"/>
    <w:rsid w:val="000814DC"/>
    <w:rsid w:val="0008191C"/>
    <w:rsid w:val="00081B3C"/>
    <w:rsid w:val="0008204A"/>
    <w:rsid w:val="000821F3"/>
    <w:rsid w:val="00083FFE"/>
    <w:rsid w:val="0008472E"/>
    <w:rsid w:val="0008508E"/>
    <w:rsid w:val="0008519F"/>
    <w:rsid w:val="0008539E"/>
    <w:rsid w:val="00085FBC"/>
    <w:rsid w:val="000861A4"/>
    <w:rsid w:val="00086E56"/>
    <w:rsid w:val="00087951"/>
    <w:rsid w:val="000904AF"/>
    <w:rsid w:val="00090690"/>
    <w:rsid w:val="00090EF7"/>
    <w:rsid w:val="0009113B"/>
    <w:rsid w:val="00091319"/>
    <w:rsid w:val="00091C3D"/>
    <w:rsid w:val="00091F8B"/>
    <w:rsid w:val="000920C7"/>
    <w:rsid w:val="00093402"/>
    <w:rsid w:val="0009360F"/>
    <w:rsid w:val="00093A61"/>
    <w:rsid w:val="00094DA3"/>
    <w:rsid w:val="00095058"/>
    <w:rsid w:val="0009565D"/>
    <w:rsid w:val="000969AA"/>
    <w:rsid w:val="00096C2B"/>
    <w:rsid w:val="00096CD1"/>
    <w:rsid w:val="0009787C"/>
    <w:rsid w:val="000A012C"/>
    <w:rsid w:val="000A0EB9"/>
    <w:rsid w:val="000A186C"/>
    <w:rsid w:val="000A1EA4"/>
    <w:rsid w:val="000A205D"/>
    <w:rsid w:val="000A20F4"/>
    <w:rsid w:val="000A2476"/>
    <w:rsid w:val="000A2CB0"/>
    <w:rsid w:val="000A3E98"/>
    <w:rsid w:val="000A40D5"/>
    <w:rsid w:val="000A43F7"/>
    <w:rsid w:val="000A4E1C"/>
    <w:rsid w:val="000A5ACE"/>
    <w:rsid w:val="000A641A"/>
    <w:rsid w:val="000A6A8B"/>
    <w:rsid w:val="000A7828"/>
    <w:rsid w:val="000B0F86"/>
    <w:rsid w:val="000B2C93"/>
    <w:rsid w:val="000B3EDB"/>
    <w:rsid w:val="000B494F"/>
    <w:rsid w:val="000B543D"/>
    <w:rsid w:val="000B55F9"/>
    <w:rsid w:val="000B5BF7"/>
    <w:rsid w:val="000B64C4"/>
    <w:rsid w:val="000B6BC8"/>
    <w:rsid w:val="000B732A"/>
    <w:rsid w:val="000B7BDB"/>
    <w:rsid w:val="000B7C4C"/>
    <w:rsid w:val="000C0303"/>
    <w:rsid w:val="000C19AE"/>
    <w:rsid w:val="000C1CF4"/>
    <w:rsid w:val="000C282A"/>
    <w:rsid w:val="000C2A8D"/>
    <w:rsid w:val="000C3EFA"/>
    <w:rsid w:val="000C42EA"/>
    <w:rsid w:val="000C44D1"/>
    <w:rsid w:val="000C4546"/>
    <w:rsid w:val="000C4D38"/>
    <w:rsid w:val="000C6176"/>
    <w:rsid w:val="000D00D9"/>
    <w:rsid w:val="000D012C"/>
    <w:rsid w:val="000D0E7A"/>
    <w:rsid w:val="000D1242"/>
    <w:rsid w:val="000D28DF"/>
    <w:rsid w:val="000D2ABA"/>
    <w:rsid w:val="000D2D77"/>
    <w:rsid w:val="000D32A1"/>
    <w:rsid w:val="000D33A4"/>
    <w:rsid w:val="000D45CA"/>
    <w:rsid w:val="000D5988"/>
    <w:rsid w:val="000D6825"/>
    <w:rsid w:val="000D685C"/>
    <w:rsid w:val="000E02A9"/>
    <w:rsid w:val="000E0970"/>
    <w:rsid w:val="000E09B5"/>
    <w:rsid w:val="000E2D23"/>
    <w:rsid w:val="000E384E"/>
    <w:rsid w:val="000E3B8E"/>
    <w:rsid w:val="000E3CC7"/>
    <w:rsid w:val="000E4801"/>
    <w:rsid w:val="000E5CA5"/>
    <w:rsid w:val="000E6761"/>
    <w:rsid w:val="000E6978"/>
    <w:rsid w:val="000E6BD4"/>
    <w:rsid w:val="000E6D6D"/>
    <w:rsid w:val="000E7CC1"/>
    <w:rsid w:val="000F0A2A"/>
    <w:rsid w:val="000F15E5"/>
    <w:rsid w:val="000F1EA5"/>
    <w:rsid w:val="000F1F1E"/>
    <w:rsid w:val="000F2259"/>
    <w:rsid w:val="000F2DDA"/>
    <w:rsid w:val="000F2EA0"/>
    <w:rsid w:val="000F3718"/>
    <w:rsid w:val="000F4EB7"/>
    <w:rsid w:val="000F5213"/>
    <w:rsid w:val="000F5270"/>
    <w:rsid w:val="000F5FFC"/>
    <w:rsid w:val="000F6102"/>
    <w:rsid w:val="000F6B2C"/>
    <w:rsid w:val="00101001"/>
    <w:rsid w:val="001012D8"/>
    <w:rsid w:val="001021B7"/>
    <w:rsid w:val="001027D8"/>
    <w:rsid w:val="00102B02"/>
    <w:rsid w:val="00102BAB"/>
    <w:rsid w:val="00102DE0"/>
    <w:rsid w:val="00103276"/>
    <w:rsid w:val="0010392D"/>
    <w:rsid w:val="00104441"/>
    <w:rsid w:val="0010447F"/>
    <w:rsid w:val="00104FE3"/>
    <w:rsid w:val="001051C2"/>
    <w:rsid w:val="0010586F"/>
    <w:rsid w:val="00105CBE"/>
    <w:rsid w:val="001068B5"/>
    <w:rsid w:val="00106AF6"/>
    <w:rsid w:val="00106FB9"/>
    <w:rsid w:val="0010714F"/>
    <w:rsid w:val="00107219"/>
    <w:rsid w:val="00107567"/>
    <w:rsid w:val="00107CF0"/>
    <w:rsid w:val="001106A8"/>
    <w:rsid w:val="001106D0"/>
    <w:rsid w:val="00110BCA"/>
    <w:rsid w:val="00111172"/>
    <w:rsid w:val="001120C5"/>
    <w:rsid w:val="001121B0"/>
    <w:rsid w:val="00114AC2"/>
    <w:rsid w:val="00115223"/>
    <w:rsid w:val="00115E74"/>
    <w:rsid w:val="00116D8A"/>
    <w:rsid w:val="001175B7"/>
    <w:rsid w:val="001179C9"/>
    <w:rsid w:val="00120BD3"/>
    <w:rsid w:val="00121A27"/>
    <w:rsid w:val="001224F3"/>
    <w:rsid w:val="00122717"/>
    <w:rsid w:val="00122FEA"/>
    <w:rsid w:val="001232BD"/>
    <w:rsid w:val="001236DC"/>
    <w:rsid w:val="0012387B"/>
    <w:rsid w:val="0012410A"/>
    <w:rsid w:val="00124ED5"/>
    <w:rsid w:val="001252A1"/>
    <w:rsid w:val="001253CC"/>
    <w:rsid w:val="00125DD2"/>
    <w:rsid w:val="001276FA"/>
    <w:rsid w:val="0013095D"/>
    <w:rsid w:val="001310D7"/>
    <w:rsid w:val="00131905"/>
    <w:rsid w:val="00131B72"/>
    <w:rsid w:val="001343B4"/>
    <w:rsid w:val="001343BF"/>
    <w:rsid w:val="001348BC"/>
    <w:rsid w:val="00134D49"/>
    <w:rsid w:val="001356D2"/>
    <w:rsid w:val="0014061D"/>
    <w:rsid w:val="00141702"/>
    <w:rsid w:val="001428EC"/>
    <w:rsid w:val="00142B7A"/>
    <w:rsid w:val="00144275"/>
    <w:rsid w:val="001447B3"/>
    <w:rsid w:val="00146929"/>
    <w:rsid w:val="00146F08"/>
    <w:rsid w:val="00147142"/>
    <w:rsid w:val="00147BB6"/>
    <w:rsid w:val="00150C2F"/>
    <w:rsid w:val="00151979"/>
    <w:rsid w:val="00152073"/>
    <w:rsid w:val="00152329"/>
    <w:rsid w:val="00152CBC"/>
    <w:rsid w:val="00152FFF"/>
    <w:rsid w:val="001541BE"/>
    <w:rsid w:val="00156320"/>
    <w:rsid w:val="00156598"/>
    <w:rsid w:val="00156777"/>
    <w:rsid w:val="001573D1"/>
    <w:rsid w:val="00160059"/>
    <w:rsid w:val="0016169C"/>
    <w:rsid w:val="00161939"/>
    <w:rsid w:val="00161AA0"/>
    <w:rsid w:val="00161D2E"/>
    <w:rsid w:val="00161F3E"/>
    <w:rsid w:val="00162093"/>
    <w:rsid w:val="00162CA9"/>
    <w:rsid w:val="0016309A"/>
    <w:rsid w:val="0016368C"/>
    <w:rsid w:val="00164C23"/>
    <w:rsid w:val="00165459"/>
    <w:rsid w:val="00165A57"/>
    <w:rsid w:val="00165BE6"/>
    <w:rsid w:val="001668B7"/>
    <w:rsid w:val="0016699E"/>
    <w:rsid w:val="001670A9"/>
    <w:rsid w:val="00167E9D"/>
    <w:rsid w:val="001712C2"/>
    <w:rsid w:val="00171B09"/>
    <w:rsid w:val="00172BAF"/>
    <w:rsid w:val="00174797"/>
    <w:rsid w:val="001749F3"/>
    <w:rsid w:val="00175C3C"/>
    <w:rsid w:val="0017674D"/>
    <w:rsid w:val="001768BD"/>
    <w:rsid w:val="001771DD"/>
    <w:rsid w:val="00177995"/>
    <w:rsid w:val="00177A8C"/>
    <w:rsid w:val="00177D39"/>
    <w:rsid w:val="00177E85"/>
    <w:rsid w:val="00180372"/>
    <w:rsid w:val="001803CF"/>
    <w:rsid w:val="001814E5"/>
    <w:rsid w:val="0018195C"/>
    <w:rsid w:val="00181DB4"/>
    <w:rsid w:val="001823D8"/>
    <w:rsid w:val="0018244E"/>
    <w:rsid w:val="00183356"/>
    <w:rsid w:val="00183659"/>
    <w:rsid w:val="001853FB"/>
    <w:rsid w:val="00185ECF"/>
    <w:rsid w:val="00186481"/>
    <w:rsid w:val="00186B33"/>
    <w:rsid w:val="0018700D"/>
    <w:rsid w:val="001879A7"/>
    <w:rsid w:val="00187B3D"/>
    <w:rsid w:val="0019003B"/>
    <w:rsid w:val="00190C3B"/>
    <w:rsid w:val="0019160B"/>
    <w:rsid w:val="00191F3D"/>
    <w:rsid w:val="00192F9D"/>
    <w:rsid w:val="00194D0A"/>
    <w:rsid w:val="001953E1"/>
    <w:rsid w:val="00196EB8"/>
    <w:rsid w:val="00196EFB"/>
    <w:rsid w:val="001979FF"/>
    <w:rsid w:val="00197B17"/>
    <w:rsid w:val="00197E36"/>
    <w:rsid w:val="001A11B0"/>
    <w:rsid w:val="001A12D7"/>
    <w:rsid w:val="001A15A5"/>
    <w:rsid w:val="001A1950"/>
    <w:rsid w:val="001A1C54"/>
    <w:rsid w:val="001A2900"/>
    <w:rsid w:val="001A2D92"/>
    <w:rsid w:val="001A3ACE"/>
    <w:rsid w:val="001A3DAC"/>
    <w:rsid w:val="001A5E2A"/>
    <w:rsid w:val="001A5E87"/>
    <w:rsid w:val="001A6272"/>
    <w:rsid w:val="001A62D4"/>
    <w:rsid w:val="001A6C2B"/>
    <w:rsid w:val="001A7E3F"/>
    <w:rsid w:val="001A7F93"/>
    <w:rsid w:val="001B049C"/>
    <w:rsid w:val="001B058F"/>
    <w:rsid w:val="001B0ADE"/>
    <w:rsid w:val="001B0F8E"/>
    <w:rsid w:val="001B168F"/>
    <w:rsid w:val="001B1A3A"/>
    <w:rsid w:val="001B30D3"/>
    <w:rsid w:val="001B3C70"/>
    <w:rsid w:val="001B4268"/>
    <w:rsid w:val="001B4DA8"/>
    <w:rsid w:val="001B5ECB"/>
    <w:rsid w:val="001B6223"/>
    <w:rsid w:val="001B6B96"/>
    <w:rsid w:val="001B738B"/>
    <w:rsid w:val="001C09DB"/>
    <w:rsid w:val="001C0EA4"/>
    <w:rsid w:val="001C13A4"/>
    <w:rsid w:val="001C277E"/>
    <w:rsid w:val="001C2A72"/>
    <w:rsid w:val="001C31B7"/>
    <w:rsid w:val="001C3423"/>
    <w:rsid w:val="001C3604"/>
    <w:rsid w:val="001C3E3F"/>
    <w:rsid w:val="001C3F3E"/>
    <w:rsid w:val="001C4692"/>
    <w:rsid w:val="001C4764"/>
    <w:rsid w:val="001C5065"/>
    <w:rsid w:val="001C6878"/>
    <w:rsid w:val="001D00C7"/>
    <w:rsid w:val="001D0719"/>
    <w:rsid w:val="001D0B75"/>
    <w:rsid w:val="001D1D9C"/>
    <w:rsid w:val="001D2A25"/>
    <w:rsid w:val="001D2E5D"/>
    <w:rsid w:val="001D30F0"/>
    <w:rsid w:val="001D3532"/>
    <w:rsid w:val="001D39A5"/>
    <w:rsid w:val="001D3BF6"/>
    <w:rsid w:val="001D3C09"/>
    <w:rsid w:val="001D44E8"/>
    <w:rsid w:val="001D49E8"/>
    <w:rsid w:val="001D57CD"/>
    <w:rsid w:val="001D5928"/>
    <w:rsid w:val="001D60EC"/>
    <w:rsid w:val="001D6A62"/>
    <w:rsid w:val="001D6C9C"/>
    <w:rsid w:val="001D6F59"/>
    <w:rsid w:val="001D785F"/>
    <w:rsid w:val="001D7BDF"/>
    <w:rsid w:val="001D7E12"/>
    <w:rsid w:val="001E07DC"/>
    <w:rsid w:val="001E129D"/>
    <w:rsid w:val="001E151A"/>
    <w:rsid w:val="001E1EBE"/>
    <w:rsid w:val="001E2161"/>
    <w:rsid w:val="001E23B5"/>
    <w:rsid w:val="001E29F3"/>
    <w:rsid w:val="001E398D"/>
    <w:rsid w:val="001E44DF"/>
    <w:rsid w:val="001E4BA2"/>
    <w:rsid w:val="001E6822"/>
    <w:rsid w:val="001E68A5"/>
    <w:rsid w:val="001E6BB0"/>
    <w:rsid w:val="001E7282"/>
    <w:rsid w:val="001E75AE"/>
    <w:rsid w:val="001F055F"/>
    <w:rsid w:val="001F07C9"/>
    <w:rsid w:val="001F0DCB"/>
    <w:rsid w:val="001F1214"/>
    <w:rsid w:val="001F2C51"/>
    <w:rsid w:val="001F3826"/>
    <w:rsid w:val="001F3BFE"/>
    <w:rsid w:val="001F43E9"/>
    <w:rsid w:val="001F5A93"/>
    <w:rsid w:val="001F61AE"/>
    <w:rsid w:val="001F6E46"/>
    <w:rsid w:val="001F7C91"/>
    <w:rsid w:val="0020023E"/>
    <w:rsid w:val="00200AC2"/>
    <w:rsid w:val="00200C0D"/>
    <w:rsid w:val="00200EAD"/>
    <w:rsid w:val="00201D52"/>
    <w:rsid w:val="002030E1"/>
    <w:rsid w:val="002033B7"/>
    <w:rsid w:val="002040AD"/>
    <w:rsid w:val="00206463"/>
    <w:rsid w:val="0020651D"/>
    <w:rsid w:val="00206F2F"/>
    <w:rsid w:val="00207717"/>
    <w:rsid w:val="0021053D"/>
    <w:rsid w:val="00210A92"/>
    <w:rsid w:val="00210C7D"/>
    <w:rsid w:val="00210D19"/>
    <w:rsid w:val="00210D69"/>
    <w:rsid w:val="00211A2F"/>
    <w:rsid w:val="00212552"/>
    <w:rsid w:val="00212B95"/>
    <w:rsid w:val="002137EE"/>
    <w:rsid w:val="00214D63"/>
    <w:rsid w:val="00215BD3"/>
    <w:rsid w:val="00215CC8"/>
    <w:rsid w:val="002163A6"/>
    <w:rsid w:val="00216C03"/>
    <w:rsid w:val="00220A1A"/>
    <w:rsid w:val="00220C04"/>
    <w:rsid w:val="0022278D"/>
    <w:rsid w:val="00223050"/>
    <w:rsid w:val="0022349E"/>
    <w:rsid w:val="00224607"/>
    <w:rsid w:val="00224A4B"/>
    <w:rsid w:val="00224F55"/>
    <w:rsid w:val="00225268"/>
    <w:rsid w:val="002254FF"/>
    <w:rsid w:val="00225580"/>
    <w:rsid w:val="00225FD9"/>
    <w:rsid w:val="00226A29"/>
    <w:rsid w:val="0022701F"/>
    <w:rsid w:val="00227074"/>
    <w:rsid w:val="0022779A"/>
    <w:rsid w:val="00227C68"/>
    <w:rsid w:val="00227D16"/>
    <w:rsid w:val="00230273"/>
    <w:rsid w:val="00230D5E"/>
    <w:rsid w:val="0023119B"/>
    <w:rsid w:val="002333F5"/>
    <w:rsid w:val="00233724"/>
    <w:rsid w:val="00233BC4"/>
    <w:rsid w:val="00234855"/>
    <w:rsid w:val="00234B6F"/>
    <w:rsid w:val="00234EDF"/>
    <w:rsid w:val="002365B4"/>
    <w:rsid w:val="00240756"/>
    <w:rsid w:val="002409A8"/>
    <w:rsid w:val="00240E24"/>
    <w:rsid w:val="0024115B"/>
    <w:rsid w:val="00242446"/>
    <w:rsid w:val="00242767"/>
    <w:rsid w:val="002432E1"/>
    <w:rsid w:val="00243764"/>
    <w:rsid w:val="00243F18"/>
    <w:rsid w:val="00244E7E"/>
    <w:rsid w:val="002452EB"/>
    <w:rsid w:val="00246207"/>
    <w:rsid w:val="00246294"/>
    <w:rsid w:val="00246437"/>
    <w:rsid w:val="00246918"/>
    <w:rsid w:val="00246C5E"/>
    <w:rsid w:val="002477C5"/>
    <w:rsid w:val="0025007F"/>
    <w:rsid w:val="00250960"/>
    <w:rsid w:val="00250BE3"/>
    <w:rsid w:val="00251343"/>
    <w:rsid w:val="002536A4"/>
    <w:rsid w:val="00253BCB"/>
    <w:rsid w:val="00253FEF"/>
    <w:rsid w:val="00254F58"/>
    <w:rsid w:val="002568F8"/>
    <w:rsid w:val="0025726E"/>
    <w:rsid w:val="00257A04"/>
    <w:rsid w:val="00261FB9"/>
    <w:rsid w:val="00262046"/>
    <w:rsid w:val="002620BC"/>
    <w:rsid w:val="00262499"/>
    <w:rsid w:val="00262802"/>
    <w:rsid w:val="002635D2"/>
    <w:rsid w:val="00263A90"/>
    <w:rsid w:val="0026408B"/>
    <w:rsid w:val="00264123"/>
    <w:rsid w:val="002644D4"/>
    <w:rsid w:val="00264B2C"/>
    <w:rsid w:val="00264B85"/>
    <w:rsid w:val="00264EC1"/>
    <w:rsid w:val="00264F79"/>
    <w:rsid w:val="00265D8E"/>
    <w:rsid w:val="0026623C"/>
    <w:rsid w:val="00266332"/>
    <w:rsid w:val="00267B34"/>
    <w:rsid w:val="00267C3E"/>
    <w:rsid w:val="002709BB"/>
    <w:rsid w:val="00270C39"/>
    <w:rsid w:val="0027131C"/>
    <w:rsid w:val="002717B7"/>
    <w:rsid w:val="002719A7"/>
    <w:rsid w:val="002729DE"/>
    <w:rsid w:val="00272F9D"/>
    <w:rsid w:val="0027385B"/>
    <w:rsid w:val="00273905"/>
    <w:rsid w:val="0027395A"/>
    <w:rsid w:val="00273BAC"/>
    <w:rsid w:val="00274E05"/>
    <w:rsid w:val="002763B3"/>
    <w:rsid w:val="00276C84"/>
    <w:rsid w:val="0027761E"/>
    <w:rsid w:val="002777B9"/>
    <w:rsid w:val="00277FE9"/>
    <w:rsid w:val="002802E3"/>
    <w:rsid w:val="00281BA2"/>
    <w:rsid w:val="0028213D"/>
    <w:rsid w:val="0028280E"/>
    <w:rsid w:val="00282885"/>
    <w:rsid w:val="002828D0"/>
    <w:rsid w:val="002829F5"/>
    <w:rsid w:val="00282EDA"/>
    <w:rsid w:val="002837D9"/>
    <w:rsid w:val="00283C89"/>
    <w:rsid w:val="00285691"/>
    <w:rsid w:val="002862F1"/>
    <w:rsid w:val="00286D9F"/>
    <w:rsid w:val="0028760B"/>
    <w:rsid w:val="00291373"/>
    <w:rsid w:val="002916E7"/>
    <w:rsid w:val="002920A1"/>
    <w:rsid w:val="002930DE"/>
    <w:rsid w:val="0029597D"/>
    <w:rsid w:val="002962C3"/>
    <w:rsid w:val="0029752B"/>
    <w:rsid w:val="002A005C"/>
    <w:rsid w:val="002A0A9C"/>
    <w:rsid w:val="002A248D"/>
    <w:rsid w:val="002A3FAA"/>
    <w:rsid w:val="002A483C"/>
    <w:rsid w:val="002A56BE"/>
    <w:rsid w:val="002A58A0"/>
    <w:rsid w:val="002A5A2B"/>
    <w:rsid w:val="002A7103"/>
    <w:rsid w:val="002A7703"/>
    <w:rsid w:val="002AD999"/>
    <w:rsid w:val="002B0416"/>
    <w:rsid w:val="002B0C7C"/>
    <w:rsid w:val="002B1729"/>
    <w:rsid w:val="002B1859"/>
    <w:rsid w:val="002B196A"/>
    <w:rsid w:val="002B1999"/>
    <w:rsid w:val="002B2792"/>
    <w:rsid w:val="002B2D10"/>
    <w:rsid w:val="002B30C6"/>
    <w:rsid w:val="002B36C7"/>
    <w:rsid w:val="002B4C1E"/>
    <w:rsid w:val="002B4DD4"/>
    <w:rsid w:val="002B4F1A"/>
    <w:rsid w:val="002B5277"/>
    <w:rsid w:val="002B5375"/>
    <w:rsid w:val="002B5BF1"/>
    <w:rsid w:val="002B5CB0"/>
    <w:rsid w:val="002B5CDB"/>
    <w:rsid w:val="002B690D"/>
    <w:rsid w:val="002B73A4"/>
    <w:rsid w:val="002B77C1"/>
    <w:rsid w:val="002C02CB"/>
    <w:rsid w:val="002C0834"/>
    <w:rsid w:val="002C0ED7"/>
    <w:rsid w:val="002C1D13"/>
    <w:rsid w:val="002C2728"/>
    <w:rsid w:val="002C2A8F"/>
    <w:rsid w:val="002C2BB3"/>
    <w:rsid w:val="002C33BD"/>
    <w:rsid w:val="002C347E"/>
    <w:rsid w:val="002C36A9"/>
    <w:rsid w:val="002C3C3D"/>
    <w:rsid w:val="002C4552"/>
    <w:rsid w:val="002C511D"/>
    <w:rsid w:val="002C5201"/>
    <w:rsid w:val="002C5B7C"/>
    <w:rsid w:val="002C5FDC"/>
    <w:rsid w:val="002C7708"/>
    <w:rsid w:val="002D1708"/>
    <w:rsid w:val="002D1DEF"/>
    <w:rsid w:val="002D1E0D"/>
    <w:rsid w:val="002D2493"/>
    <w:rsid w:val="002D5006"/>
    <w:rsid w:val="002D54B5"/>
    <w:rsid w:val="002D74AD"/>
    <w:rsid w:val="002D7C61"/>
    <w:rsid w:val="002D7E08"/>
    <w:rsid w:val="002D7F1C"/>
    <w:rsid w:val="002E01D0"/>
    <w:rsid w:val="002E10FC"/>
    <w:rsid w:val="002E161D"/>
    <w:rsid w:val="002E28A2"/>
    <w:rsid w:val="002E29A3"/>
    <w:rsid w:val="002E3100"/>
    <w:rsid w:val="002E34DB"/>
    <w:rsid w:val="002E3582"/>
    <w:rsid w:val="002E3B1E"/>
    <w:rsid w:val="002E541E"/>
    <w:rsid w:val="002E5905"/>
    <w:rsid w:val="002E6C95"/>
    <w:rsid w:val="002E74F0"/>
    <w:rsid w:val="002E7799"/>
    <w:rsid w:val="002E7C36"/>
    <w:rsid w:val="002F13AD"/>
    <w:rsid w:val="002F3C41"/>
    <w:rsid w:val="002F3D32"/>
    <w:rsid w:val="002F4C54"/>
    <w:rsid w:val="002F4D3F"/>
    <w:rsid w:val="002F5F31"/>
    <w:rsid w:val="002F5F46"/>
    <w:rsid w:val="002F5FBB"/>
    <w:rsid w:val="002F64FC"/>
    <w:rsid w:val="002F666E"/>
    <w:rsid w:val="002F68B6"/>
    <w:rsid w:val="00301545"/>
    <w:rsid w:val="00302216"/>
    <w:rsid w:val="00302651"/>
    <w:rsid w:val="003027F3"/>
    <w:rsid w:val="00303E53"/>
    <w:rsid w:val="00304F16"/>
    <w:rsid w:val="00305CC1"/>
    <w:rsid w:val="00306450"/>
    <w:rsid w:val="00306E1B"/>
    <w:rsid w:val="00306E5F"/>
    <w:rsid w:val="003070C1"/>
    <w:rsid w:val="00307A6C"/>
    <w:rsid w:val="00307E14"/>
    <w:rsid w:val="00311F0E"/>
    <w:rsid w:val="003126F1"/>
    <w:rsid w:val="00313623"/>
    <w:rsid w:val="00314054"/>
    <w:rsid w:val="00314B89"/>
    <w:rsid w:val="00315F6A"/>
    <w:rsid w:val="00316F27"/>
    <w:rsid w:val="003174FF"/>
    <w:rsid w:val="00317823"/>
    <w:rsid w:val="00317B3E"/>
    <w:rsid w:val="00320A31"/>
    <w:rsid w:val="003214F1"/>
    <w:rsid w:val="00321B3E"/>
    <w:rsid w:val="00322E4B"/>
    <w:rsid w:val="003235BB"/>
    <w:rsid w:val="0032474A"/>
    <w:rsid w:val="003256EA"/>
    <w:rsid w:val="0032570F"/>
    <w:rsid w:val="00325C2B"/>
    <w:rsid w:val="0032644E"/>
    <w:rsid w:val="003269EE"/>
    <w:rsid w:val="0032767C"/>
    <w:rsid w:val="00327870"/>
    <w:rsid w:val="00327B2B"/>
    <w:rsid w:val="0033055B"/>
    <w:rsid w:val="00331D88"/>
    <w:rsid w:val="00331F88"/>
    <w:rsid w:val="0033250C"/>
    <w:rsid w:val="0033259D"/>
    <w:rsid w:val="003333D2"/>
    <w:rsid w:val="00333464"/>
    <w:rsid w:val="00334686"/>
    <w:rsid w:val="0033481D"/>
    <w:rsid w:val="003352C1"/>
    <w:rsid w:val="00336D99"/>
    <w:rsid w:val="00337151"/>
    <w:rsid w:val="00337339"/>
    <w:rsid w:val="0033786E"/>
    <w:rsid w:val="00337D3C"/>
    <w:rsid w:val="003400EC"/>
    <w:rsid w:val="00340345"/>
    <w:rsid w:val="003406C6"/>
    <w:rsid w:val="003418CC"/>
    <w:rsid w:val="003418DF"/>
    <w:rsid w:val="003434EE"/>
    <w:rsid w:val="00343974"/>
    <w:rsid w:val="00345894"/>
    <w:rsid w:val="003459BD"/>
    <w:rsid w:val="00345F64"/>
    <w:rsid w:val="0034708D"/>
    <w:rsid w:val="00347DF4"/>
    <w:rsid w:val="0035020E"/>
    <w:rsid w:val="00350D38"/>
    <w:rsid w:val="00350F44"/>
    <w:rsid w:val="00350FD4"/>
    <w:rsid w:val="00351887"/>
    <w:rsid w:val="00351B36"/>
    <w:rsid w:val="00351C9F"/>
    <w:rsid w:val="00351D94"/>
    <w:rsid w:val="00351D96"/>
    <w:rsid w:val="00352B30"/>
    <w:rsid w:val="00353085"/>
    <w:rsid w:val="00353753"/>
    <w:rsid w:val="00353E3C"/>
    <w:rsid w:val="003556B4"/>
    <w:rsid w:val="00355740"/>
    <w:rsid w:val="003567E8"/>
    <w:rsid w:val="00357B4E"/>
    <w:rsid w:val="003601E9"/>
    <w:rsid w:val="003615D6"/>
    <w:rsid w:val="00361CED"/>
    <w:rsid w:val="0036376A"/>
    <w:rsid w:val="003647FA"/>
    <w:rsid w:val="00365727"/>
    <w:rsid w:val="0036698D"/>
    <w:rsid w:val="00366FD5"/>
    <w:rsid w:val="00367019"/>
    <w:rsid w:val="00367951"/>
    <w:rsid w:val="00370219"/>
    <w:rsid w:val="003716FD"/>
    <w:rsid w:val="0037204B"/>
    <w:rsid w:val="00373749"/>
    <w:rsid w:val="0037432E"/>
    <w:rsid w:val="00374410"/>
    <w:rsid w:val="003744CF"/>
    <w:rsid w:val="003744F5"/>
    <w:rsid w:val="00374717"/>
    <w:rsid w:val="00374CDF"/>
    <w:rsid w:val="0037676C"/>
    <w:rsid w:val="00377B70"/>
    <w:rsid w:val="003801AA"/>
    <w:rsid w:val="003808FA"/>
    <w:rsid w:val="00381043"/>
    <w:rsid w:val="003812E8"/>
    <w:rsid w:val="00381BC9"/>
    <w:rsid w:val="003829E5"/>
    <w:rsid w:val="00382A2A"/>
    <w:rsid w:val="00382D6E"/>
    <w:rsid w:val="003840D4"/>
    <w:rsid w:val="00384515"/>
    <w:rsid w:val="00384553"/>
    <w:rsid w:val="0038463E"/>
    <w:rsid w:val="00384693"/>
    <w:rsid w:val="00384A90"/>
    <w:rsid w:val="00384BB4"/>
    <w:rsid w:val="00386109"/>
    <w:rsid w:val="003864D1"/>
    <w:rsid w:val="00386944"/>
    <w:rsid w:val="00391573"/>
    <w:rsid w:val="00391C0A"/>
    <w:rsid w:val="0039250F"/>
    <w:rsid w:val="00393055"/>
    <w:rsid w:val="003936EB"/>
    <w:rsid w:val="00393C7A"/>
    <w:rsid w:val="00395584"/>
    <w:rsid w:val="003956CC"/>
    <w:rsid w:val="00395C9A"/>
    <w:rsid w:val="00396D4F"/>
    <w:rsid w:val="0039788A"/>
    <w:rsid w:val="003A0429"/>
    <w:rsid w:val="003A04E9"/>
    <w:rsid w:val="003A0853"/>
    <w:rsid w:val="003A1AF0"/>
    <w:rsid w:val="003A1E5B"/>
    <w:rsid w:val="003A2294"/>
    <w:rsid w:val="003A2E55"/>
    <w:rsid w:val="003A3218"/>
    <w:rsid w:val="003A3948"/>
    <w:rsid w:val="003A3CC3"/>
    <w:rsid w:val="003A3D3C"/>
    <w:rsid w:val="003A3F91"/>
    <w:rsid w:val="003A5C85"/>
    <w:rsid w:val="003A63DB"/>
    <w:rsid w:val="003A64FC"/>
    <w:rsid w:val="003A665A"/>
    <w:rsid w:val="003A6A22"/>
    <w:rsid w:val="003A6B67"/>
    <w:rsid w:val="003A76CD"/>
    <w:rsid w:val="003B0BE5"/>
    <w:rsid w:val="003B13B6"/>
    <w:rsid w:val="003B14C3"/>
    <w:rsid w:val="003B15E6"/>
    <w:rsid w:val="003B18E4"/>
    <w:rsid w:val="003B1AD4"/>
    <w:rsid w:val="003B1C44"/>
    <w:rsid w:val="003B21CB"/>
    <w:rsid w:val="003B22EF"/>
    <w:rsid w:val="003B3F7E"/>
    <w:rsid w:val="003B408A"/>
    <w:rsid w:val="003B409E"/>
    <w:rsid w:val="003B4331"/>
    <w:rsid w:val="003B44D9"/>
    <w:rsid w:val="003B4DA4"/>
    <w:rsid w:val="003B574D"/>
    <w:rsid w:val="003B5C27"/>
    <w:rsid w:val="003B66F6"/>
    <w:rsid w:val="003B6C5A"/>
    <w:rsid w:val="003B787F"/>
    <w:rsid w:val="003C012D"/>
    <w:rsid w:val="003C08A2"/>
    <w:rsid w:val="003C1011"/>
    <w:rsid w:val="003C15DF"/>
    <w:rsid w:val="003C1C42"/>
    <w:rsid w:val="003C2045"/>
    <w:rsid w:val="003C26CB"/>
    <w:rsid w:val="003C43A1"/>
    <w:rsid w:val="003C4449"/>
    <w:rsid w:val="003C4FC0"/>
    <w:rsid w:val="003C55F4"/>
    <w:rsid w:val="003C56E8"/>
    <w:rsid w:val="003C5D5B"/>
    <w:rsid w:val="003C6740"/>
    <w:rsid w:val="003C698B"/>
    <w:rsid w:val="003C720D"/>
    <w:rsid w:val="003C7573"/>
    <w:rsid w:val="003C7897"/>
    <w:rsid w:val="003C7A3F"/>
    <w:rsid w:val="003C7DD7"/>
    <w:rsid w:val="003C7F6E"/>
    <w:rsid w:val="003D2766"/>
    <w:rsid w:val="003D2A74"/>
    <w:rsid w:val="003D2DF9"/>
    <w:rsid w:val="003D3D88"/>
    <w:rsid w:val="003D3E8F"/>
    <w:rsid w:val="003D541F"/>
    <w:rsid w:val="003D5A14"/>
    <w:rsid w:val="003D60C2"/>
    <w:rsid w:val="003D6475"/>
    <w:rsid w:val="003D6EE6"/>
    <w:rsid w:val="003D749B"/>
    <w:rsid w:val="003D74B0"/>
    <w:rsid w:val="003D7625"/>
    <w:rsid w:val="003D7ED2"/>
    <w:rsid w:val="003E2DC1"/>
    <w:rsid w:val="003E375C"/>
    <w:rsid w:val="003E37BF"/>
    <w:rsid w:val="003E3EAC"/>
    <w:rsid w:val="003E4086"/>
    <w:rsid w:val="003E4CA1"/>
    <w:rsid w:val="003E5033"/>
    <w:rsid w:val="003E5502"/>
    <w:rsid w:val="003E5772"/>
    <w:rsid w:val="003E639E"/>
    <w:rsid w:val="003E71E5"/>
    <w:rsid w:val="003E7826"/>
    <w:rsid w:val="003E7A19"/>
    <w:rsid w:val="003F0445"/>
    <w:rsid w:val="003F0CF0"/>
    <w:rsid w:val="003F1292"/>
    <w:rsid w:val="003F14B1"/>
    <w:rsid w:val="003F14BD"/>
    <w:rsid w:val="003F1586"/>
    <w:rsid w:val="003F1B7E"/>
    <w:rsid w:val="003F1F38"/>
    <w:rsid w:val="003F2B20"/>
    <w:rsid w:val="003F2C68"/>
    <w:rsid w:val="003F3289"/>
    <w:rsid w:val="003F3931"/>
    <w:rsid w:val="003F3C62"/>
    <w:rsid w:val="003F5172"/>
    <w:rsid w:val="003F54E6"/>
    <w:rsid w:val="003F5911"/>
    <w:rsid w:val="003F5CB9"/>
    <w:rsid w:val="003F7123"/>
    <w:rsid w:val="004013C7"/>
    <w:rsid w:val="00401737"/>
    <w:rsid w:val="00401818"/>
    <w:rsid w:val="00401FCF"/>
    <w:rsid w:val="004022E9"/>
    <w:rsid w:val="00402EEC"/>
    <w:rsid w:val="00403F69"/>
    <w:rsid w:val="00404B9A"/>
    <w:rsid w:val="004059DF"/>
    <w:rsid w:val="00406061"/>
    <w:rsid w:val="0040626A"/>
    <w:rsid w:val="00406285"/>
    <w:rsid w:val="00407380"/>
    <w:rsid w:val="004115A2"/>
    <w:rsid w:val="00411984"/>
    <w:rsid w:val="00412E9A"/>
    <w:rsid w:val="004148F9"/>
    <w:rsid w:val="004150E2"/>
    <w:rsid w:val="00415A6B"/>
    <w:rsid w:val="0041612F"/>
    <w:rsid w:val="0042084E"/>
    <w:rsid w:val="00420A8B"/>
    <w:rsid w:val="00421EEF"/>
    <w:rsid w:val="004222C7"/>
    <w:rsid w:val="00422C43"/>
    <w:rsid w:val="00424580"/>
    <w:rsid w:val="00424B03"/>
    <w:rsid w:val="00424D65"/>
    <w:rsid w:val="00425957"/>
    <w:rsid w:val="00426C75"/>
    <w:rsid w:val="00430143"/>
    <w:rsid w:val="00430393"/>
    <w:rsid w:val="00430F2F"/>
    <w:rsid w:val="00430F86"/>
    <w:rsid w:val="00431733"/>
    <w:rsid w:val="00431806"/>
    <w:rsid w:val="00431A70"/>
    <w:rsid w:val="00431F42"/>
    <w:rsid w:val="00432F84"/>
    <w:rsid w:val="0043338B"/>
    <w:rsid w:val="0043366A"/>
    <w:rsid w:val="00435FED"/>
    <w:rsid w:val="004363BA"/>
    <w:rsid w:val="00436688"/>
    <w:rsid w:val="004369C9"/>
    <w:rsid w:val="00436B20"/>
    <w:rsid w:val="00437E53"/>
    <w:rsid w:val="0044027A"/>
    <w:rsid w:val="00440993"/>
    <w:rsid w:val="00441E81"/>
    <w:rsid w:val="00442C6C"/>
    <w:rsid w:val="00443CBE"/>
    <w:rsid w:val="00443E8A"/>
    <w:rsid w:val="004440A1"/>
    <w:rsid w:val="004441BC"/>
    <w:rsid w:val="00445CDF"/>
    <w:rsid w:val="00446736"/>
    <w:rsid w:val="004468B4"/>
    <w:rsid w:val="00446D86"/>
    <w:rsid w:val="004479AE"/>
    <w:rsid w:val="0045080B"/>
    <w:rsid w:val="0045093A"/>
    <w:rsid w:val="004509E4"/>
    <w:rsid w:val="004511E7"/>
    <w:rsid w:val="0045230A"/>
    <w:rsid w:val="00454100"/>
    <w:rsid w:val="00454A7D"/>
    <w:rsid w:val="00454AD0"/>
    <w:rsid w:val="00454E8E"/>
    <w:rsid w:val="00455FDA"/>
    <w:rsid w:val="004562FA"/>
    <w:rsid w:val="00457337"/>
    <w:rsid w:val="004573B1"/>
    <w:rsid w:val="00462E3D"/>
    <w:rsid w:val="00465595"/>
    <w:rsid w:val="0046576D"/>
    <w:rsid w:val="00465C6B"/>
    <w:rsid w:val="0046666F"/>
    <w:rsid w:val="00466B16"/>
    <w:rsid w:val="00466E79"/>
    <w:rsid w:val="0047003A"/>
    <w:rsid w:val="004701B9"/>
    <w:rsid w:val="00470604"/>
    <w:rsid w:val="004706F1"/>
    <w:rsid w:val="00470866"/>
    <w:rsid w:val="00470D7D"/>
    <w:rsid w:val="00472049"/>
    <w:rsid w:val="00472D28"/>
    <w:rsid w:val="0047372D"/>
    <w:rsid w:val="00473BA3"/>
    <w:rsid w:val="004743C3"/>
    <w:rsid w:val="004743DD"/>
    <w:rsid w:val="00474CEA"/>
    <w:rsid w:val="00475FC5"/>
    <w:rsid w:val="00481C68"/>
    <w:rsid w:val="00482E34"/>
    <w:rsid w:val="00483968"/>
    <w:rsid w:val="004841BE"/>
    <w:rsid w:val="00484F86"/>
    <w:rsid w:val="00485140"/>
    <w:rsid w:val="0048678E"/>
    <w:rsid w:val="004878E1"/>
    <w:rsid w:val="00490409"/>
    <w:rsid w:val="00490746"/>
    <w:rsid w:val="00490852"/>
    <w:rsid w:val="00490EE8"/>
    <w:rsid w:val="0049183A"/>
    <w:rsid w:val="00491C9C"/>
    <w:rsid w:val="00492204"/>
    <w:rsid w:val="004926D3"/>
    <w:rsid w:val="00492A47"/>
    <w:rsid w:val="00492F30"/>
    <w:rsid w:val="0049300E"/>
    <w:rsid w:val="00493459"/>
    <w:rsid w:val="00493523"/>
    <w:rsid w:val="00493E38"/>
    <w:rsid w:val="004946F4"/>
    <w:rsid w:val="0049487E"/>
    <w:rsid w:val="00494FAE"/>
    <w:rsid w:val="0049593C"/>
    <w:rsid w:val="00496AFF"/>
    <w:rsid w:val="004971FB"/>
    <w:rsid w:val="004A06A9"/>
    <w:rsid w:val="004A0C16"/>
    <w:rsid w:val="004A0F78"/>
    <w:rsid w:val="004A11A8"/>
    <w:rsid w:val="004A160D"/>
    <w:rsid w:val="004A18BC"/>
    <w:rsid w:val="004A2979"/>
    <w:rsid w:val="004A2C65"/>
    <w:rsid w:val="004A3E81"/>
    <w:rsid w:val="004A4195"/>
    <w:rsid w:val="004A44CC"/>
    <w:rsid w:val="004A54E1"/>
    <w:rsid w:val="004A552F"/>
    <w:rsid w:val="004A57B7"/>
    <w:rsid w:val="004A5983"/>
    <w:rsid w:val="004A5C62"/>
    <w:rsid w:val="004A5CE5"/>
    <w:rsid w:val="004A707D"/>
    <w:rsid w:val="004B0974"/>
    <w:rsid w:val="004B1C8A"/>
    <w:rsid w:val="004B2C12"/>
    <w:rsid w:val="004B30FD"/>
    <w:rsid w:val="004B341E"/>
    <w:rsid w:val="004B3C95"/>
    <w:rsid w:val="004B4185"/>
    <w:rsid w:val="004B427B"/>
    <w:rsid w:val="004B4CDA"/>
    <w:rsid w:val="004B560A"/>
    <w:rsid w:val="004B5875"/>
    <w:rsid w:val="004B5F20"/>
    <w:rsid w:val="004B6BBA"/>
    <w:rsid w:val="004B77D5"/>
    <w:rsid w:val="004C04DA"/>
    <w:rsid w:val="004C088A"/>
    <w:rsid w:val="004C15C9"/>
    <w:rsid w:val="004C2C1D"/>
    <w:rsid w:val="004C3B36"/>
    <w:rsid w:val="004C3F46"/>
    <w:rsid w:val="004C3F57"/>
    <w:rsid w:val="004C4067"/>
    <w:rsid w:val="004C5541"/>
    <w:rsid w:val="004C63A5"/>
    <w:rsid w:val="004C6CDD"/>
    <w:rsid w:val="004C6CF6"/>
    <w:rsid w:val="004C6EEE"/>
    <w:rsid w:val="004C702B"/>
    <w:rsid w:val="004C7C1D"/>
    <w:rsid w:val="004D0033"/>
    <w:rsid w:val="004D016B"/>
    <w:rsid w:val="004D0E0D"/>
    <w:rsid w:val="004D0FD0"/>
    <w:rsid w:val="004D18A3"/>
    <w:rsid w:val="004D1B22"/>
    <w:rsid w:val="004D23CC"/>
    <w:rsid w:val="004D25E5"/>
    <w:rsid w:val="004D2B0A"/>
    <w:rsid w:val="004D34CE"/>
    <w:rsid w:val="004D36F2"/>
    <w:rsid w:val="004D3D03"/>
    <w:rsid w:val="004D4134"/>
    <w:rsid w:val="004D5521"/>
    <w:rsid w:val="004D6172"/>
    <w:rsid w:val="004D61BB"/>
    <w:rsid w:val="004D69F7"/>
    <w:rsid w:val="004D7EBC"/>
    <w:rsid w:val="004E1106"/>
    <w:rsid w:val="004E138F"/>
    <w:rsid w:val="004E2DF1"/>
    <w:rsid w:val="004E4649"/>
    <w:rsid w:val="004E48B8"/>
    <w:rsid w:val="004E5770"/>
    <w:rsid w:val="004E5AEC"/>
    <w:rsid w:val="004E5C2B"/>
    <w:rsid w:val="004E61B8"/>
    <w:rsid w:val="004E62C5"/>
    <w:rsid w:val="004E764F"/>
    <w:rsid w:val="004E7C7A"/>
    <w:rsid w:val="004F00DD"/>
    <w:rsid w:val="004F06AF"/>
    <w:rsid w:val="004F0ACE"/>
    <w:rsid w:val="004F0DA6"/>
    <w:rsid w:val="004F1786"/>
    <w:rsid w:val="004F2133"/>
    <w:rsid w:val="004F2AE9"/>
    <w:rsid w:val="004F5398"/>
    <w:rsid w:val="004F55F1"/>
    <w:rsid w:val="004F5C95"/>
    <w:rsid w:val="004F5E84"/>
    <w:rsid w:val="004F646C"/>
    <w:rsid w:val="004F6936"/>
    <w:rsid w:val="004F6A61"/>
    <w:rsid w:val="004F73B0"/>
    <w:rsid w:val="004F7CC7"/>
    <w:rsid w:val="004F7E05"/>
    <w:rsid w:val="004F7F1F"/>
    <w:rsid w:val="00501013"/>
    <w:rsid w:val="00501466"/>
    <w:rsid w:val="00501766"/>
    <w:rsid w:val="00501A24"/>
    <w:rsid w:val="00501B31"/>
    <w:rsid w:val="00501F92"/>
    <w:rsid w:val="00503A97"/>
    <w:rsid w:val="00503DC6"/>
    <w:rsid w:val="005044E3"/>
    <w:rsid w:val="00506F5D"/>
    <w:rsid w:val="00510404"/>
    <w:rsid w:val="00510C37"/>
    <w:rsid w:val="0051122C"/>
    <w:rsid w:val="00511F1A"/>
    <w:rsid w:val="005126D0"/>
    <w:rsid w:val="00512820"/>
    <w:rsid w:val="00513648"/>
    <w:rsid w:val="00513F60"/>
    <w:rsid w:val="00514667"/>
    <w:rsid w:val="0051568D"/>
    <w:rsid w:val="005158DE"/>
    <w:rsid w:val="00515CC8"/>
    <w:rsid w:val="00515E2C"/>
    <w:rsid w:val="00516094"/>
    <w:rsid w:val="005171C4"/>
    <w:rsid w:val="00520078"/>
    <w:rsid w:val="0052068E"/>
    <w:rsid w:val="00520DC3"/>
    <w:rsid w:val="00521386"/>
    <w:rsid w:val="00521851"/>
    <w:rsid w:val="00521B24"/>
    <w:rsid w:val="00521F0A"/>
    <w:rsid w:val="005227D1"/>
    <w:rsid w:val="00523AB7"/>
    <w:rsid w:val="0052416B"/>
    <w:rsid w:val="005248BA"/>
    <w:rsid w:val="0052696A"/>
    <w:rsid w:val="00526AC7"/>
    <w:rsid w:val="00526C15"/>
    <w:rsid w:val="00526D2A"/>
    <w:rsid w:val="00526D88"/>
    <w:rsid w:val="005275D6"/>
    <w:rsid w:val="00527F4B"/>
    <w:rsid w:val="005307EB"/>
    <w:rsid w:val="00530C4A"/>
    <w:rsid w:val="00531C24"/>
    <w:rsid w:val="00532073"/>
    <w:rsid w:val="00532806"/>
    <w:rsid w:val="005329AF"/>
    <w:rsid w:val="005330BC"/>
    <w:rsid w:val="00533150"/>
    <w:rsid w:val="00533753"/>
    <w:rsid w:val="00533993"/>
    <w:rsid w:val="00534205"/>
    <w:rsid w:val="00534E8F"/>
    <w:rsid w:val="00535E4C"/>
    <w:rsid w:val="00536499"/>
    <w:rsid w:val="0053704B"/>
    <w:rsid w:val="005370FE"/>
    <w:rsid w:val="005373F8"/>
    <w:rsid w:val="005379DA"/>
    <w:rsid w:val="00537CA8"/>
    <w:rsid w:val="00541B8A"/>
    <w:rsid w:val="00542653"/>
    <w:rsid w:val="00542A03"/>
    <w:rsid w:val="00542B69"/>
    <w:rsid w:val="00543903"/>
    <w:rsid w:val="00543B19"/>
    <w:rsid w:val="00543BCC"/>
    <w:rsid w:val="00543F11"/>
    <w:rsid w:val="00544135"/>
    <w:rsid w:val="0054503F"/>
    <w:rsid w:val="00546305"/>
    <w:rsid w:val="00546DBA"/>
    <w:rsid w:val="005472A3"/>
    <w:rsid w:val="0054781A"/>
    <w:rsid w:val="00547970"/>
    <w:rsid w:val="00547A95"/>
    <w:rsid w:val="00550D28"/>
    <w:rsid w:val="0055119B"/>
    <w:rsid w:val="00551335"/>
    <w:rsid w:val="005536A5"/>
    <w:rsid w:val="005538F1"/>
    <w:rsid w:val="00554527"/>
    <w:rsid w:val="00554B97"/>
    <w:rsid w:val="00555056"/>
    <w:rsid w:val="00556749"/>
    <w:rsid w:val="0055726B"/>
    <w:rsid w:val="0055734B"/>
    <w:rsid w:val="00557A7E"/>
    <w:rsid w:val="005604F7"/>
    <w:rsid w:val="00560553"/>
    <w:rsid w:val="005605DB"/>
    <w:rsid w:val="00561202"/>
    <w:rsid w:val="005619DD"/>
    <w:rsid w:val="005621E3"/>
    <w:rsid w:val="00562420"/>
    <w:rsid w:val="00562507"/>
    <w:rsid w:val="00562777"/>
    <w:rsid w:val="00562811"/>
    <w:rsid w:val="00564094"/>
    <w:rsid w:val="00564259"/>
    <w:rsid w:val="00564983"/>
    <w:rsid w:val="00565911"/>
    <w:rsid w:val="00566D7F"/>
    <w:rsid w:val="005670F6"/>
    <w:rsid w:val="00567164"/>
    <w:rsid w:val="00567443"/>
    <w:rsid w:val="00567EE8"/>
    <w:rsid w:val="00571BA9"/>
    <w:rsid w:val="00572031"/>
    <w:rsid w:val="00572282"/>
    <w:rsid w:val="00572C3C"/>
    <w:rsid w:val="0057338E"/>
    <w:rsid w:val="00573440"/>
    <w:rsid w:val="00573A0F"/>
    <w:rsid w:val="00573CE3"/>
    <w:rsid w:val="005745A7"/>
    <w:rsid w:val="00574C84"/>
    <w:rsid w:val="00576350"/>
    <w:rsid w:val="0057638B"/>
    <w:rsid w:val="0057666F"/>
    <w:rsid w:val="00576E84"/>
    <w:rsid w:val="00577944"/>
    <w:rsid w:val="00580394"/>
    <w:rsid w:val="005804B4"/>
    <w:rsid w:val="005804E6"/>
    <w:rsid w:val="005809CD"/>
    <w:rsid w:val="00580C11"/>
    <w:rsid w:val="00581EA1"/>
    <w:rsid w:val="00582B73"/>
    <w:rsid w:val="00582B8C"/>
    <w:rsid w:val="00583155"/>
    <w:rsid w:val="0058358F"/>
    <w:rsid w:val="00583711"/>
    <w:rsid w:val="0058587F"/>
    <w:rsid w:val="0058593E"/>
    <w:rsid w:val="005873BA"/>
    <w:rsid w:val="0058757E"/>
    <w:rsid w:val="00590817"/>
    <w:rsid w:val="00590D33"/>
    <w:rsid w:val="005910FD"/>
    <w:rsid w:val="00591FD5"/>
    <w:rsid w:val="00592410"/>
    <w:rsid w:val="00592708"/>
    <w:rsid w:val="00593D0E"/>
    <w:rsid w:val="00593EEF"/>
    <w:rsid w:val="00593FB6"/>
    <w:rsid w:val="00595C5F"/>
    <w:rsid w:val="00595D95"/>
    <w:rsid w:val="005963D6"/>
    <w:rsid w:val="00596A4B"/>
    <w:rsid w:val="00597507"/>
    <w:rsid w:val="005A1238"/>
    <w:rsid w:val="005A14D5"/>
    <w:rsid w:val="005A16D1"/>
    <w:rsid w:val="005A182C"/>
    <w:rsid w:val="005A1C27"/>
    <w:rsid w:val="005A2170"/>
    <w:rsid w:val="005A479D"/>
    <w:rsid w:val="005A4D8D"/>
    <w:rsid w:val="005A4EBA"/>
    <w:rsid w:val="005A5969"/>
    <w:rsid w:val="005A5F57"/>
    <w:rsid w:val="005A6593"/>
    <w:rsid w:val="005A6AB2"/>
    <w:rsid w:val="005A6FCA"/>
    <w:rsid w:val="005B1A4E"/>
    <w:rsid w:val="005B1C6D"/>
    <w:rsid w:val="005B21B6"/>
    <w:rsid w:val="005B227D"/>
    <w:rsid w:val="005B235A"/>
    <w:rsid w:val="005B308B"/>
    <w:rsid w:val="005B3A08"/>
    <w:rsid w:val="005B3BE5"/>
    <w:rsid w:val="005B40AD"/>
    <w:rsid w:val="005B49F4"/>
    <w:rsid w:val="005B52BA"/>
    <w:rsid w:val="005B5A5F"/>
    <w:rsid w:val="005B71AD"/>
    <w:rsid w:val="005B7A63"/>
    <w:rsid w:val="005C02C1"/>
    <w:rsid w:val="005C0955"/>
    <w:rsid w:val="005C0DEE"/>
    <w:rsid w:val="005C0ECE"/>
    <w:rsid w:val="005C14AF"/>
    <w:rsid w:val="005C3817"/>
    <w:rsid w:val="005C414A"/>
    <w:rsid w:val="005C41D3"/>
    <w:rsid w:val="005C479D"/>
    <w:rsid w:val="005C49DA"/>
    <w:rsid w:val="005C50F3"/>
    <w:rsid w:val="005C54B5"/>
    <w:rsid w:val="005C5B21"/>
    <w:rsid w:val="005C5D80"/>
    <w:rsid w:val="005C5D91"/>
    <w:rsid w:val="005C628C"/>
    <w:rsid w:val="005C6762"/>
    <w:rsid w:val="005C78A0"/>
    <w:rsid w:val="005D0431"/>
    <w:rsid w:val="005D07B8"/>
    <w:rsid w:val="005D0B1C"/>
    <w:rsid w:val="005D1373"/>
    <w:rsid w:val="005D1CD4"/>
    <w:rsid w:val="005D1F71"/>
    <w:rsid w:val="005D203A"/>
    <w:rsid w:val="005D2326"/>
    <w:rsid w:val="005D2CF8"/>
    <w:rsid w:val="005D2E89"/>
    <w:rsid w:val="005D4A66"/>
    <w:rsid w:val="005D4A7D"/>
    <w:rsid w:val="005D6597"/>
    <w:rsid w:val="005D693B"/>
    <w:rsid w:val="005D75CA"/>
    <w:rsid w:val="005D7A04"/>
    <w:rsid w:val="005D7A1E"/>
    <w:rsid w:val="005E0418"/>
    <w:rsid w:val="005E0495"/>
    <w:rsid w:val="005E14E7"/>
    <w:rsid w:val="005E17EA"/>
    <w:rsid w:val="005E1DC1"/>
    <w:rsid w:val="005E239C"/>
    <w:rsid w:val="005E26A3"/>
    <w:rsid w:val="005E2ECB"/>
    <w:rsid w:val="005E2EFF"/>
    <w:rsid w:val="005E447E"/>
    <w:rsid w:val="005E4FD1"/>
    <w:rsid w:val="005E59D2"/>
    <w:rsid w:val="005E60C8"/>
    <w:rsid w:val="005E63DB"/>
    <w:rsid w:val="005F0775"/>
    <w:rsid w:val="005F0CF5"/>
    <w:rsid w:val="005F1F4A"/>
    <w:rsid w:val="005F21EB"/>
    <w:rsid w:val="005F2874"/>
    <w:rsid w:val="005F2B8C"/>
    <w:rsid w:val="005F424B"/>
    <w:rsid w:val="005F5EC4"/>
    <w:rsid w:val="005F639E"/>
    <w:rsid w:val="005F64CF"/>
    <w:rsid w:val="005F68F9"/>
    <w:rsid w:val="005F6FC5"/>
    <w:rsid w:val="005F6FFB"/>
    <w:rsid w:val="005F713A"/>
    <w:rsid w:val="00601733"/>
    <w:rsid w:val="00602683"/>
    <w:rsid w:val="00603142"/>
    <w:rsid w:val="006033DB"/>
    <w:rsid w:val="006035BB"/>
    <w:rsid w:val="00603957"/>
    <w:rsid w:val="006041AD"/>
    <w:rsid w:val="00604BAD"/>
    <w:rsid w:val="00604C50"/>
    <w:rsid w:val="006054D6"/>
    <w:rsid w:val="00605908"/>
    <w:rsid w:val="00607850"/>
    <w:rsid w:val="00607EF7"/>
    <w:rsid w:val="00607F26"/>
    <w:rsid w:val="006109C2"/>
    <w:rsid w:val="00610D7C"/>
    <w:rsid w:val="00611A65"/>
    <w:rsid w:val="00611F82"/>
    <w:rsid w:val="0061313C"/>
    <w:rsid w:val="00613414"/>
    <w:rsid w:val="0061405E"/>
    <w:rsid w:val="0061453F"/>
    <w:rsid w:val="006159AE"/>
    <w:rsid w:val="00615CED"/>
    <w:rsid w:val="00616E1A"/>
    <w:rsid w:val="00617574"/>
    <w:rsid w:val="0061794C"/>
    <w:rsid w:val="00617CB7"/>
    <w:rsid w:val="00620154"/>
    <w:rsid w:val="00620468"/>
    <w:rsid w:val="00622565"/>
    <w:rsid w:val="0062408D"/>
    <w:rsid w:val="006240CC"/>
    <w:rsid w:val="00624940"/>
    <w:rsid w:val="00625283"/>
    <w:rsid w:val="006254F8"/>
    <w:rsid w:val="006259EE"/>
    <w:rsid w:val="006260B0"/>
    <w:rsid w:val="0062684D"/>
    <w:rsid w:val="006271F8"/>
    <w:rsid w:val="0062789C"/>
    <w:rsid w:val="00627DA7"/>
    <w:rsid w:val="006307DE"/>
    <w:rsid w:val="00630DA4"/>
    <w:rsid w:val="00631CD4"/>
    <w:rsid w:val="00632597"/>
    <w:rsid w:val="00632E3A"/>
    <w:rsid w:val="006338A6"/>
    <w:rsid w:val="00633B63"/>
    <w:rsid w:val="00634115"/>
    <w:rsid w:val="0063483E"/>
    <w:rsid w:val="00634D13"/>
    <w:rsid w:val="00634D75"/>
    <w:rsid w:val="006358B4"/>
    <w:rsid w:val="0063595B"/>
    <w:rsid w:val="00635C48"/>
    <w:rsid w:val="00635F4B"/>
    <w:rsid w:val="00636EF5"/>
    <w:rsid w:val="006374F5"/>
    <w:rsid w:val="00641107"/>
    <w:rsid w:val="00641371"/>
    <w:rsid w:val="00641724"/>
    <w:rsid w:val="006419AA"/>
    <w:rsid w:val="00641A66"/>
    <w:rsid w:val="00641AE8"/>
    <w:rsid w:val="00642110"/>
    <w:rsid w:val="00642931"/>
    <w:rsid w:val="00643E81"/>
    <w:rsid w:val="006443B8"/>
    <w:rsid w:val="00644B1F"/>
    <w:rsid w:val="00644B7E"/>
    <w:rsid w:val="00645184"/>
    <w:rsid w:val="006454E6"/>
    <w:rsid w:val="0064615D"/>
    <w:rsid w:val="00646235"/>
    <w:rsid w:val="00646A68"/>
    <w:rsid w:val="00646FF3"/>
    <w:rsid w:val="006472CD"/>
    <w:rsid w:val="00647C84"/>
    <w:rsid w:val="00647CC9"/>
    <w:rsid w:val="006505BD"/>
    <w:rsid w:val="006508EA"/>
    <w:rsid w:val="0065092E"/>
    <w:rsid w:val="0065155E"/>
    <w:rsid w:val="00651575"/>
    <w:rsid w:val="00651FE6"/>
    <w:rsid w:val="00652150"/>
    <w:rsid w:val="00653D1F"/>
    <w:rsid w:val="00653E50"/>
    <w:rsid w:val="00653F1A"/>
    <w:rsid w:val="00654686"/>
    <w:rsid w:val="006557A7"/>
    <w:rsid w:val="00656290"/>
    <w:rsid w:val="006564DF"/>
    <w:rsid w:val="006601C9"/>
    <w:rsid w:val="0066067D"/>
    <w:rsid w:val="0066073C"/>
    <w:rsid w:val="006608D8"/>
    <w:rsid w:val="00661322"/>
    <w:rsid w:val="00661CA7"/>
    <w:rsid w:val="006621D7"/>
    <w:rsid w:val="006624FC"/>
    <w:rsid w:val="0066302A"/>
    <w:rsid w:val="00664D90"/>
    <w:rsid w:val="00667770"/>
    <w:rsid w:val="00667AF1"/>
    <w:rsid w:val="0067035F"/>
    <w:rsid w:val="00670597"/>
    <w:rsid w:val="006706D0"/>
    <w:rsid w:val="00670FE7"/>
    <w:rsid w:val="006724AE"/>
    <w:rsid w:val="00672E73"/>
    <w:rsid w:val="00676786"/>
    <w:rsid w:val="006772CA"/>
    <w:rsid w:val="00677574"/>
    <w:rsid w:val="006812ED"/>
    <w:rsid w:val="00682205"/>
    <w:rsid w:val="00683878"/>
    <w:rsid w:val="00683A8C"/>
    <w:rsid w:val="00683CCD"/>
    <w:rsid w:val="00684380"/>
    <w:rsid w:val="00684465"/>
    <w:rsid w:val="0068454C"/>
    <w:rsid w:val="006876D5"/>
    <w:rsid w:val="00690790"/>
    <w:rsid w:val="00691B62"/>
    <w:rsid w:val="0069320C"/>
    <w:rsid w:val="006932E5"/>
    <w:rsid w:val="006933B5"/>
    <w:rsid w:val="006934FC"/>
    <w:rsid w:val="00693D14"/>
    <w:rsid w:val="00695274"/>
    <w:rsid w:val="00695625"/>
    <w:rsid w:val="00696698"/>
    <w:rsid w:val="00696762"/>
    <w:rsid w:val="00696F27"/>
    <w:rsid w:val="006971C5"/>
    <w:rsid w:val="006974B8"/>
    <w:rsid w:val="00697951"/>
    <w:rsid w:val="006A18C2"/>
    <w:rsid w:val="006A269F"/>
    <w:rsid w:val="006A27E6"/>
    <w:rsid w:val="006A2ED5"/>
    <w:rsid w:val="006A3383"/>
    <w:rsid w:val="006A38A0"/>
    <w:rsid w:val="006A44C4"/>
    <w:rsid w:val="006A527B"/>
    <w:rsid w:val="006A6CEA"/>
    <w:rsid w:val="006A7BAE"/>
    <w:rsid w:val="006B077C"/>
    <w:rsid w:val="006B185C"/>
    <w:rsid w:val="006B18E7"/>
    <w:rsid w:val="006B1B06"/>
    <w:rsid w:val="006B2257"/>
    <w:rsid w:val="006B2399"/>
    <w:rsid w:val="006B2A31"/>
    <w:rsid w:val="006B3AD0"/>
    <w:rsid w:val="006B461A"/>
    <w:rsid w:val="006B6803"/>
    <w:rsid w:val="006B7935"/>
    <w:rsid w:val="006B79EF"/>
    <w:rsid w:val="006B7EFF"/>
    <w:rsid w:val="006C1CFA"/>
    <w:rsid w:val="006C2719"/>
    <w:rsid w:val="006C348C"/>
    <w:rsid w:val="006C3D2E"/>
    <w:rsid w:val="006C3FDD"/>
    <w:rsid w:val="006C4D06"/>
    <w:rsid w:val="006C648C"/>
    <w:rsid w:val="006C6793"/>
    <w:rsid w:val="006C6942"/>
    <w:rsid w:val="006C6E2F"/>
    <w:rsid w:val="006D0ABF"/>
    <w:rsid w:val="006D0F16"/>
    <w:rsid w:val="006D14AF"/>
    <w:rsid w:val="006D2818"/>
    <w:rsid w:val="006D2A3F"/>
    <w:rsid w:val="006D2B6A"/>
    <w:rsid w:val="006D2FBC"/>
    <w:rsid w:val="006D39CE"/>
    <w:rsid w:val="006D3BEA"/>
    <w:rsid w:val="006D43A4"/>
    <w:rsid w:val="006D4C21"/>
    <w:rsid w:val="006D51C6"/>
    <w:rsid w:val="006D51FC"/>
    <w:rsid w:val="006D6E34"/>
    <w:rsid w:val="006D70DF"/>
    <w:rsid w:val="006D77EB"/>
    <w:rsid w:val="006D785E"/>
    <w:rsid w:val="006D7C93"/>
    <w:rsid w:val="006E0721"/>
    <w:rsid w:val="006E0FDC"/>
    <w:rsid w:val="006E138B"/>
    <w:rsid w:val="006E16BA"/>
    <w:rsid w:val="006E1867"/>
    <w:rsid w:val="006E18C7"/>
    <w:rsid w:val="006E19B1"/>
    <w:rsid w:val="006E2FC6"/>
    <w:rsid w:val="006E31A6"/>
    <w:rsid w:val="006E3293"/>
    <w:rsid w:val="006E3FAB"/>
    <w:rsid w:val="006E427D"/>
    <w:rsid w:val="006E4EF0"/>
    <w:rsid w:val="006E5211"/>
    <w:rsid w:val="006E5525"/>
    <w:rsid w:val="006E55F8"/>
    <w:rsid w:val="006E5CB2"/>
    <w:rsid w:val="006E60AB"/>
    <w:rsid w:val="006E6C70"/>
    <w:rsid w:val="006F005D"/>
    <w:rsid w:val="006F0330"/>
    <w:rsid w:val="006F0EB9"/>
    <w:rsid w:val="006F1554"/>
    <w:rsid w:val="006F1FDC"/>
    <w:rsid w:val="006F2388"/>
    <w:rsid w:val="006F349E"/>
    <w:rsid w:val="006F4490"/>
    <w:rsid w:val="006F4894"/>
    <w:rsid w:val="006F4C59"/>
    <w:rsid w:val="006F5F1F"/>
    <w:rsid w:val="006F6B8C"/>
    <w:rsid w:val="006F6C26"/>
    <w:rsid w:val="006F76A8"/>
    <w:rsid w:val="007011A1"/>
    <w:rsid w:val="007013EF"/>
    <w:rsid w:val="00701F93"/>
    <w:rsid w:val="007026A5"/>
    <w:rsid w:val="007029F8"/>
    <w:rsid w:val="00702E5A"/>
    <w:rsid w:val="0070503A"/>
    <w:rsid w:val="00705505"/>
    <w:rsid w:val="007055BD"/>
    <w:rsid w:val="00707734"/>
    <w:rsid w:val="00707835"/>
    <w:rsid w:val="00707E11"/>
    <w:rsid w:val="0071037C"/>
    <w:rsid w:val="00710C7A"/>
    <w:rsid w:val="007120E5"/>
    <w:rsid w:val="007122F5"/>
    <w:rsid w:val="00712F36"/>
    <w:rsid w:val="007136E1"/>
    <w:rsid w:val="00713BBD"/>
    <w:rsid w:val="00715810"/>
    <w:rsid w:val="00715D92"/>
    <w:rsid w:val="007173CA"/>
    <w:rsid w:val="007174FC"/>
    <w:rsid w:val="007179B8"/>
    <w:rsid w:val="0072159F"/>
    <w:rsid w:val="007216AA"/>
    <w:rsid w:val="00721AB5"/>
    <w:rsid w:val="00721CFB"/>
    <w:rsid w:val="00721DEF"/>
    <w:rsid w:val="00722D71"/>
    <w:rsid w:val="007233CF"/>
    <w:rsid w:val="00723CD7"/>
    <w:rsid w:val="00724A43"/>
    <w:rsid w:val="0072684F"/>
    <w:rsid w:val="00726F8E"/>
    <w:rsid w:val="007273AC"/>
    <w:rsid w:val="00727635"/>
    <w:rsid w:val="007318AF"/>
    <w:rsid w:val="00731AD4"/>
    <w:rsid w:val="00731EC8"/>
    <w:rsid w:val="007332EC"/>
    <w:rsid w:val="007346E4"/>
    <w:rsid w:val="00734CB8"/>
    <w:rsid w:val="007353C4"/>
    <w:rsid w:val="00735564"/>
    <w:rsid w:val="007356C8"/>
    <w:rsid w:val="00735B6F"/>
    <w:rsid w:val="00736EB9"/>
    <w:rsid w:val="00736F59"/>
    <w:rsid w:val="0073725F"/>
    <w:rsid w:val="0073739E"/>
    <w:rsid w:val="00737DBA"/>
    <w:rsid w:val="00740F22"/>
    <w:rsid w:val="00740F2B"/>
    <w:rsid w:val="007419E2"/>
    <w:rsid w:val="00741A59"/>
    <w:rsid w:val="00741CF0"/>
    <w:rsid w:val="00741F1A"/>
    <w:rsid w:val="00742137"/>
    <w:rsid w:val="00742384"/>
    <w:rsid w:val="0074270C"/>
    <w:rsid w:val="00742C6B"/>
    <w:rsid w:val="00742F1B"/>
    <w:rsid w:val="007433C4"/>
    <w:rsid w:val="0074355C"/>
    <w:rsid w:val="00743F12"/>
    <w:rsid w:val="007444C7"/>
    <w:rsid w:val="007447DA"/>
    <w:rsid w:val="007448DF"/>
    <w:rsid w:val="007450F8"/>
    <w:rsid w:val="0074696E"/>
    <w:rsid w:val="007471AC"/>
    <w:rsid w:val="00747CBD"/>
    <w:rsid w:val="00750135"/>
    <w:rsid w:val="0075022A"/>
    <w:rsid w:val="00750EC2"/>
    <w:rsid w:val="007516F3"/>
    <w:rsid w:val="007516FD"/>
    <w:rsid w:val="00751925"/>
    <w:rsid w:val="0075299F"/>
    <w:rsid w:val="00752B28"/>
    <w:rsid w:val="007536BC"/>
    <w:rsid w:val="00753748"/>
    <w:rsid w:val="00753875"/>
    <w:rsid w:val="007541A9"/>
    <w:rsid w:val="00754534"/>
    <w:rsid w:val="007548F1"/>
    <w:rsid w:val="00754B14"/>
    <w:rsid w:val="00754B2F"/>
    <w:rsid w:val="00754E36"/>
    <w:rsid w:val="007556B1"/>
    <w:rsid w:val="00757108"/>
    <w:rsid w:val="00757B71"/>
    <w:rsid w:val="007603BE"/>
    <w:rsid w:val="00760595"/>
    <w:rsid w:val="00760913"/>
    <w:rsid w:val="007616AE"/>
    <w:rsid w:val="00761928"/>
    <w:rsid w:val="0076297E"/>
    <w:rsid w:val="00762C1F"/>
    <w:rsid w:val="00762F07"/>
    <w:rsid w:val="00763139"/>
    <w:rsid w:val="007645BB"/>
    <w:rsid w:val="00765F69"/>
    <w:rsid w:val="0076670C"/>
    <w:rsid w:val="007668B6"/>
    <w:rsid w:val="0076773E"/>
    <w:rsid w:val="00767B89"/>
    <w:rsid w:val="0077030C"/>
    <w:rsid w:val="00770F37"/>
    <w:rsid w:val="00771116"/>
    <w:rsid w:val="007711A0"/>
    <w:rsid w:val="007711BA"/>
    <w:rsid w:val="0077234C"/>
    <w:rsid w:val="00772D5E"/>
    <w:rsid w:val="0077340A"/>
    <w:rsid w:val="00773BE5"/>
    <w:rsid w:val="00773F79"/>
    <w:rsid w:val="0077463E"/>
    <w:rsid w:val="007754B7"/>
    <w:rsid w:val="00776928"/>
    <w:rsid w:val="00776D56"/>
    <w:rsid w:val="00776E0F"/>
    <w:rsid w:val="007774B1"/>
    <w:rsid w:val="00777776"/>
    <w:rsid w:val="00777BE1"/>
    <w:rsid w:val="00780482"/>
    <w:rsid w:val="00782222"/>
    <w:rsid w:val="00782708"/>
    <w:rsid w:val="007828B6"/>
    <w:rsid w:val="00782C2B"/>
    <w:rsid w:val="007833D8"/>
    <w:rsid w:val="00783720"/>
    <w:rsid w:val="00783AA1"/>
    <w:rsid w:val="00784572"/>
    <w:rsid w:val="007849E3"/>
    <w:rsid w:val="007851F7"/>
    <w:rsid w:val="00785677"/>
    <w:rsid w:val="007868A6"/>
    <w:rsid w:val="00786F16"/>
    <w:rsid w:val="00791BD7"/>
    <w:rsid w:val="00792407"/>
    <w:rsid w:val="007933F1"/>
    <w:rsid w:val="007933F7"/>
    <w:rsid w:val="007947EB"/>
    <w:rsid w:val="007948D8"/>
    <w:rsid w:val="00796AD6"/>
    <w:rsid w:val="00796E20"/>
    <w:rsid w:val="007978D8"/>
    <w:rsid w:val="00797C32"/>
    <w:rsid w:val="007A11E8"/>
    <w:rsid w:val="007A1912"/>
    <w:rsid w:val="007A23FE"/>
    <w:rsid w:val="007A29DD"/>
    <w:rsid w:val="007A2B67"/>
    <w:rsid w:val="007A2EA0"/>
    <w:rsid w:val="007A32FE"/>
    <w:rsid w:val="007A3464"/>
    <w:rsid w:val="007A432F"/>
    <w:rsid w:val="007A44A6"/>
    <w:rsid w:val="007A51DB"/>
    <w:rsid w:val="007A5822"/>
    <w:rsid w:val="007A5BA1"/>
    <w:rsid w:val="007A6983"/>
    <w:rsid w:val="007A6AA6"/>
    <w:rsid w:val="007B0914"/>
    <w:rsid w:val="007B1374"/>
    <w:rsid w:val="007B2C7F"/>
    <w:rsid w:val="007B32E5"/>
    <w:rsid w:val="007B3DB9"/>
    <w:rsid w:val="007B40A8"/>
    <w:rsid w:val="007B4BCC"/>
    <w:rsid w:val="007B4E5F"/>
    <w:rsid w:val="007B4F70"/>
    <w:rsid w:val="007B589F"/>
    <w:rsid w:val="007B5B1B"/>
    <w:rsid w:val="007B6186"/>
    <w:rsid w:val="007B73BC"/>
    <w:rsid w:val="007C0028"/>
    <w:rsid w:val="007C0106"/>
    <w:rsid w:val="007C0DBC"/>
    <w:rsid w:val="007C1838"/>
    <w:rsid w:val="007C19E2"/>
    <w:rsid w:val="007C1FB9"/>
    <w:rsid w:val="007C20B9"/>
    <w:rsid w:val="007C214C"/>
    <w:rsid w:val="007C3689"/>
    <w:rsid w:val="007C5F86"/>
    <w:rsid w:val="007C7301"/>
    <w:rsid w:val="007C7859"/>
    <w:rsid w:val="007C7F28"/>
    <w:rsid w:val="007D127F"/>
    <w:rsid w:val="007D1466"/>
    <w:rsid w:val="007D1E87"/>
    <w:rsid w:val="007D2BDE"/>
    <w:rsid w:val="007D2FB6"/>
    <w:rsid w:val="007D3281"/>
    <w:rsid w:val="007D4964"/>
    <w:rsid w:val="007D49EB"/>
    <w:rsid w:val="007D513A"/>
    <w:rsid w:val="007D5B08"/>
    <w:rsid w:val="007D5E1C"/>
    <w:rsid w:val="007D6A87"/>
    <w:rsid w:val="007D6F23"/>
    <w:rsid w:val="007E0C1D"/>
    <w:rsid w:val="007E0DE2"/>
    <w:rsid w:val="007E10A6"/>
    <w:rsid w:val="007E144D"/>
    <w:rsid w:val="007E34AC"/>
    <w:rsid w:val="007E3667"/>
    <w:rsid w:val="007E3B60"/>
    <w:rsid w:val="007E3B98"/>
    <w:rsid w:val="007E417A"/>
    <w:rsid w:val="007E4220"/>
    <w:rsid w:val="007E4660"/>
    <w:rsid w:val="007E5024"/>
    <w:rsid w:val="007E548D"/>
    <w:rsid w:val="007F089A"/>
    <w:rsid w:val="007F178B"/>
    <w:rsid w:val="007F31B6"/>
    <w:rsid w:val="007F3B5A"/>
    <w:rsid w:val="007F3EB3"/>
    <w:rsid w:val="007F3F96"/>
    <w:rsid w:val="007F477F"/>
    <w:rsid w:val="007F546C"/>
    <w:rsid w:val="007F57F4"/>
    <w:rsid w:val="007F5C0F"/>
    <w:rsid w:val="007F5E8F"/>
    <w:rsid w:val="007F625F"/>
    <w:rsid w:val="007F665E"/>
    <w:rsid w:val="007F6EC6"/>
    <w:rsid w:val="007F7D52"/>
    <w:rsid w:val="00800209"/>
    <w:rsid w:val="00800412"/>
    <w:rsid w:val="0080074C"/>
    <w:rsid w:val="00800C1D"/>
    <w:rsid w:val="0080138E"/>
    <w:rsid w:val="00801526"/>
    <w:rsid w:val="00801A0B"/>
    <w:rsid w:val="00802115"/>
    <w:rsid w:val="008035FA"/>
    <w:rsid w:val="008037D1"/>
    <w:rsid w:val="0080388B"/>
    <w:rsid w:val="00803A06"/>
    <w:rsid w:val="00803ACF"/>
    <w:rsid w:val="008047B3"/>
    <w:rsid w:val="00805308"/>
    <w:rsid w:val="008053EE"/>
    <w:rsid w:val="0080587B"/>
    <w:rsid w:val="0080604A"/>
    <w:rsid w:val="00806468"/>
    <w:rsid w:val="00807640"/>
    <w:rsid w:val="00807A0D"/>
    <w:rsid w:val="00807C8F"/>
    <w:rsid w:val="00807DEC"/>
    <w:rsid w:val="008119CA"/>
    <w:rsid w:val="0081233D"/>
    <w:rsid w:val="008130C4"/>
    <w:rsid w:val="008138C6"/>
    <w:rsid w:val="00813959"/>
    <w:rsid w:val="00814C0C"/>
    <w:rsid w:val="00814DF1"/>
    <w:rsid w:val="008155F0"/>
    <w:rsid w:val="008156BA"/>
    <w:rsid w:val="00815C81"/>
    <w:rsid w:val="00816735"/>
    <w:rsid w:val="00817227"/>
    <w:rsid w:val="00817564"/>
    <w:rsid w:val="00820141"/>
    <w:rsid w:val="00820E0C"/>
    <w:rsid w:val="00821837"/>
    <w:rsid w:val="00823275"/>
    <w:rsid w:val="0082366F"/>
    <w:rsid w:val="008240B0"/>
    <w:rsid w:val="00824738"/>
    <w:rsid w:val="00826B40"/>
    <w:rsid w:val="00827165"/>
    <w:rsid w:val="008304AC"/>
    <w:rsid w:val="00830F15"/>
    <w:rsid w:val="00831520"/>
    <w:rsid w:val="0083198D"/>
    <w:rsid w:val="008322FE"/>
    <w:rsid w:val="008338A2"/>
    <w:rsid w:val="008363D0"/>
    <w:rsid w:val="008401C2"/>
    <w:rsid w:val="00841AA9"/>
    <w:rsid w:val="00842258"/>
    <w:rsid w:val="008431E6"/>
    <w:rsid w:val="00843A14"/>
    <w:rsid w:val="00844189"/>
    <w:rsid w:val="0084423B"/>
    <w:rsid w:val="008446F6"/>
    <w:rsid w:val="0084614E"/>
    <w:rsid w:val="0084680D"/>
    <w:rsid w:val="00846EED"/>
    <w:rsid w:val="008474FE"/>
    <w:rsid w:val="0085381E"/>
    <w:rsid w:val="00853EE4"/>
    <w:rsid w:val="00853F27"/>
    <w:rsid w:val="00854333"/>
    <w:rsid w:val="00854704"/>
    <w:rsid w:val="00854FCD"/>
    <w:rsid w:val="00855535"/>
    <w:rsid w:val="00855695"/>
    <w:rsid w:val="00857C52"/>
    <w:rsid w:val="00857C5A"/>
    <w:rsid w:val="00857D1E"/>
    <w:rsid w:val="00860423"/>
    <w:rsid w:val="0086048E"/>
    <w:rsid w:val="008608BF"/>
    <w:rsid w:val="00860C51"/>
    <w:rsid w:val="00860FCC"/>
    <w:rsid w:val="00861E29"/>
    <w:rsid w:val="00862492"/>
    <w:rsid w:val="0086255E"/>
    <w:rsid w:val="0086294C"/>
    <w:rsid w:val="008633F0"/>
    <w:rsid w:val="008647D3"/>
    <w:rsid w:val="00864AB8"/>
    <w:rsid w:val="00864D6A"/>
    <w:rsid w:val="008652B4"/>
    <w:rsid w:val="00865CBE"/>
    <w:rsid w:val="00865DA7"/>
    <w:rsid w:val="00866253"/>
    <w:rsid w:val="008674DE"/>
    <w:rsid w:val="00867D9D"/>
    <w:rsid w:val="00870019"/>
    <w:rsid w:val="00871933"/>
    <w:rsid w:val="008725D6"/>
    <w:rsid w:val="00872A81"/>
    <w:rsid w:val="00872E0A"/>
    <w:rsid w:val="00872EF3"/>
    <w:rsid w:val="00873594"/>
    <w:rsid w:val="008747D0"/>
    <w:rsid w:val="00875285"/>
    <w:rsid w:val="00877154"/>
    <w:rsid w:val="008802B7"/>
    <w:rsid w:val="00881C42"/>
    <w:rsid w:val="00881D37"/>
    <w:rsid w:val="00881DE0"/>
    <w:rsid w:val="008822D4"/>
    <w:rsid w:val="00882810"/>
    <w:rsid w:val="008828D6"/>
    <w:rsid w:val="00882921"/>
    <w:rsid w:val="00882ACC"/>
    <w:rsid w:val="008837A8"/>
    <w:rsid w:val="00883F24"/>
    <w:rsid w:val="008841CA"/>
    <w:rsid w:val="00884B62"/>
    <w:rsid w:val="008850F5"/>
    <w:rsid w:val="0088529C"/>
    <w:rsid w:val="00885717"/>
    <w:rsid w:val="00885D8E"/>
    <w:rsid w:val="00886FE3"/>
    <w:rsid w:val="00887903"/>
    <w:rsid w:val="00887DB0"/>
    <w:rsid w:val="00891A83"/>
    <w:rsid w:val="00892127"/>
    <w:rsid w:val="0089270A"/>
    <w:rsid w:val="00893AF6"/>
    <w:rsid w:val="00893C58"/>
    <w:rsid w:val="008943E6"/>
    <w:rsid w:val="00894BC4"/>
    <w:rsid w:val="00894BC7"/>
    <w:rsid w:val="008952B2"/>
    <w:rsid w:val="008962C9"/>
    <w:rsid w:val="00896737"/>
    <w:rsid w:val="00896890"/>
    <w:rsid w:val="00897234"/>
    <w:rsid w:val="00897547"/>
    <w:rsid w:val="008977D1"/>
    <w:rsid w:val="00897EED"/>
    <w:rsid w:val="008A1610"/>
    <w:rsid w:val="008A17CE"/>
    <w:rsid w:val="008A2624"/>
    <w:rsid w:val="008A287E"/>
    <w:rsid w:val="008A28A8"/>
    <w:rsid w:val="008A2F23"/>
    <w:rsid w:val="008A54AC"/>
    <w:rsid w:val="008A5B32"/>
    <w:rsid w:val="008A607E"/>
    <w:rsid w:val="008A622C"/>
    <w:rsid w:val="008A6E30"/>
    <w:rsid w:val="008A6EAA"/>
    <w:rsid w:val="008A7002"/>
    <w:rsid w:val="008A73F3"/>
    <w:rsid w:val="008A748D"/>
    <w:rsid w:val="008B0049"/>
    <w:rsid w:val="008B011B"/>
    <w:rsid w:val="008B04FA"/>
    <w:rsid w:val="008B2029"/>
    <w:rsid w:val="008B243E"/>
    <w:rsid w:val="008B2EE4"/>
    <w:rsid w:val="008B37DA"/>
    <w:rsid w:val="008B3821"/>
    <w:rsid w:val="008B41E8"/>
    <w:rsid w:val="008B4D3D"/>
    <w:rsid w:val="008B5213"/>
    <w:rsid w:val="008B57C7"/>
    <w:rsid w:val="008B6804"/>
    <w:rsid w:val="008B6E8A"/>
    <w:rsid w:val="008B7206"/>
    <w:rsid w:val="008B73D8"/>
    <w:rsid w:val="008B7A70"/>
    <w:rsid w:val="008C0541"/>
    <w:rsid w:val="008C16EE"/>
    <w:rsid w:val="008C2229"/>
    <w:rsid w:val="008C279E"/>
    <w:rsid w:val="008C2F92"/>
    <w:rsid w:val="008C3546"/>
    <w:rsid w:val="008C3BEA"/>
    <w:rsid w:val="008C4002"/>
    <w:rsid w:val="008C4411"/>
    <w:rsid w:val="008C589D"/>
    <w:rsid w:val="008C6C77"/>
    <w:rsid w:val="008C6D51"/>
    <w:rsid w:val="008C6D60"/>
    <w:rsid w:val="008C7F6A"/>
    <w:rsid w:val="008C7F7A"/>
    <w:rsid w:val="008D03E9"/>
    <w:rsid w:val="008D06BE"/>
    <w:rsid w:val="008D0999"/>
    <w:rsid w:val="008D11CA"/>
    <w:rsid w:val="008D1308"/>
    <w:rsid w:val="008D2846"/>
    <w:rsid w:val="008D4236"/>
    <w:rsid w:val="008D462F"/>
    <w:rsid w:val="008D536E"/>
    <w:rsid w:val="008D6344"/>
    <w:rsid w:val="008D6DCF"/>
    <w:rsid w:val="008E0B78"/>
    <w:rsid w:val="008E136B"/>
    <w:rsid w:val="008E1938"/>
    <w:rsid w:val="008E251B"/>
    <w:rsid w:val="008E2620"/>
    <w:rsid w:val="008E2FEE"/>
    <w:rsid w:val="008E3187"/>
    <w:rsid w:val="008E35AC"/>
    <w:rsid w:val="008E3AC8"/>
    <w:rsid w:val="008E40A1"/>
    <w:rsid w:val="008E4376"/>
    <w:rsid w:val="008E44FE"/>
    <w:rsid w:val="008E48AD"/>
    <w:rsid w:val="008E6685"/>
    <w:rsid w:val="008E70BE"/>
    <w:rsid w:val="008E71CA"/>
    <w:rsid w:val="008E7A0A"/>
    <w:rsid w:val="008E7B49"/>
    <w:rsid w:val="008F0356"/>
    <w:rsid w:val="008F09F0"/>
    <w:rsid w:val="008F1510"/>
    <w:rsid w:val="008F2AFF"/>
    <w:rsid w:val="008F4AB5"/>
    <w:rsid w:val="008F5817"/>
    <w:rsid w:val="008F59F6"/>
    <w:rsid w:val="008F5BBA"/>
    <w:rsid w:val="008F65E2"/>
    <w:rsid w:val="008F6763"/>
    <w:rsid w:val="008F687B"/>
    <w:rsid w:val="008F69BC"/>
    <w:rsid w:val="008F7C1B"/>
    <w:rsid w:val="00900719"/>
    <w:rsid w:val="009012F3"/>
    <w:rsid w:val="009017AC"/>
    <w:rsid w:val="0090194F"/>
    <w:rsid w:val="009024FB"/>
    <w:rsid w:val="00902A9A"/>
    <w:rsid w:val="00904A1C"/>
    <w:rsid w:val="00905030"/>
    <w:rsid w:val="00905672"/>
    <w:rsid w:val="00906352"/>
    <w:rsid w:val="00906490"/>
    <w:rsid w:val="00907902"/>
    <w:rsid w:val="009104B3"/>
    <w:rsid w:val="009111B2"/>
    <w:rsid w:val="00911366"/>
    <w:rsid w:val="009131EB"/>
    <w:rsid w:val="00913769"/>
    <w:rsid w:val="0091417C"/>
    <w:rsid w:val="00914A18"/>
    <w:rsid w:val="009151F5"/>
    <w:rsid w:val="00915E09"/>
    <w:rsid w:val="00916D3B"/>
    <w:rsid w:val="00916EF5"/>
    <w:rsid w:val="00920ACF"/>
    <w:rsid w:val="00920B52"/>
    <w:rsid w:val="00920E64"/>
    <w:rsid w:val="00920F18"/>
    <w:rsid w:val="009217D9"/>
    <w:rsid w:val="00923027"/>
    <w:rsid w:val="0092358D"/>
    <w:rsid w:val="009236A5"/>
    <w:rsid w:val="00923E6F"/>
    <w:rsid w:val="00924247"/>
    <w:rsid w:val="00924462"/>
    <w:rsid w:val="0092492C"/>
    <w:rsid w:val="00924AE1"/>
    <w:rsid w:val="009269B1"/>
    <w:rsid w:val="0092724D"/>
    <w:rsid w:val="009272B3"/>
    <w:rsid w:val="0092750F"/>
    <w:rsid w:val="00930A5B"/>
    <w:rsid w:val="009315BE"/>
    <w:rsid w:val="009319AF"/>
    <w:rsid w:val="009326DD"/>
    <w:rsid w:val="0093338F"/>
    <w:rsid w:val="00933451"/>
    <w:rsid w:val="009337C8"/>
    <w:rsid w:val="0093544E"/>
    <w:rsid w:val="00935A81"/>
    <w:rsid w:val="00935B85"/>
    <w:rsid w:val="0093616A"/>
    <w:rsid w:val="0093706F"/>
    <w:rsid w:val="009371CE"/>
    <w:rsid w:val="0093727E"/>
    <w:rsid w:val="00937BD9"/>
    <w:rsid w:val="00937C95"/>
    <w:rsid w:val="00940AAC"/>
    <w:rsid w:val="00940D7E"/>
    <w:rsid w:val="00940F0A"/>
    <w:rsid w:val="00940F41"/>
    <w:rsid w:val="00941991"/>
    <w:rsid w:val="00941E17"/>
    <w:rsid w:val="00941EA1"/>
    <w:rsid w:val="009422D5"/>
    <w:rsid w:val="00942858"/>
    <w:rsid w:val="0094436B"/>
    <w:rsid w:val="009446A8"/>
    <w:rsid w:val="009446B1"/>
    <w:rsid w:val="00944A5C"/>
    <w:rsid w:val="00944E16"/>
    <w:rsid w:val="00946F62"/>
    <w:rsid w:val="009472D3"/>
    <w:rsid w:val="00950DB5"/>
    <w:rsid w:val="00950E2C"/>
    <w:rsid w:val="00951D50"/>
    <w:rsid w:val="009523B3"/>
    <w:rsid w:val="009525EB"/>
    <w:rsid w:val="00953A17"/>
    <w:rsid w:val="00953CFA"/>
    <w:rsid w:val="0095470B"/>
    <w:rsid w:val="00954874"/>
    <w:rsid w:val="00954FA9"/>
    <w:rsid w:val="0095611C"/>
    <w:rsid w:val="0095615A"/>
    <w:rsid w:val="00956D92"/>
    <w:rsid w:val="00956D9D"/>
    <w:rsid w:val="009574BA"/>
    <w:rsid w:val="00961400"/>
    <w:rsid w:val="00961AC1"/>
    <w:rsid w:val="00961DBF"/>
    <w:rsid w:val="00962350"/>
    <w:rsid w:val="00962831"/>
    <w:rsid w:val="00962E07"/>
    <w:rsid w:val="00963016"/>
    <w:rsid w:val="009632C2"/>
    <w:rsid w:val="00963646"/>
    <w:rsid w:val="009639B5"/>
    <w:rsid w:val="00963C39"/>
    <w:rsid w:val="00965069"/>
    <w:rsid w:val="00965B43"/>
    <w:rsid w:val="00965D4C"/>
    <w:rsid w:val="0096632D"/>
    <w:rsid w:val="0096652B"/>
    <w:rsid w:val="009666EC"/>
    <w:rsid w:val="00967124"/>
    <w:rsid w:val="00967B2C"/>
    <w:rsid w:val="0097020A"/>
    <w:rsid w:val="0097028E"/>
    <w:rsid w:val="009702E4"/>
    <w:rsid w:val="0097166C"/>
    <w:rsid w:val="009716E8"/>
    <w:rsid w:val="009718C7"/>
    <w:rsid w:val="00972971"/>
    <w:rsid w:val="009734B0"/>
    <w:rsid w:val="00973939"/>
    <w:rsid w:val="0097559F"/>
    <w:rsid w:val="009761EA"/>
    <w:rsid w:val="00976BE5"/>
    <w:rsid w:val="0097761E"/>
    <w:rsid w:val="00980E27"/>
    <w:rsid w:val="009818FA"/>
    <w:rsid w:val="00982454"/>
    <w:rsid w:val="00982CF0"/>
    <w:rsid w:val="009834EA"/>
    <w:rsid w:val="009842C3"/>
    <w:rsid w:val="009853E1"/>
    <w:rsid w:val="009859EF"/>
    <w:rsid w:val="00985B31"/>
    <w:rsid w:val="00985DEC"/>
    <w:rsid w:val="009869B2"/>
    <w:rsid w:val="00986A4D"/>
    <w:rsid w:val="00986E6B"/>
    <w:rsid w:val="009879DE"/>
    <w:rsid w:val="00987EC4"/>
    <w:rsid w:val="00990032"/>
    <w:rsid w:val="00990255"/>
    <w:rsid w:val="00990B19"/>
    <w:rsid w:val="00990EE2"/>
    <w:rsid w:val="0099153B"/>
    <w:rsid w:val="00991769"/>
    <w:rsid w:val="00991F49"/>
    <w:rsid w:val="0099232C"/>
    <w:rsid w:val="00992CEE"/>
    <w:rsid w:val="00994386"/>
    <w:rsid w:val="009945D5"/>
    <w:rsid w:val="00994A4F"/>
    <w:rsid w:val="00995637"/>
    <w:rsid w:val="00995FC9"/>
    <w:rsid w:val="00996573"/>
    <w:rsid w:val="0099699B"/>
    <w:rsid w:val="009A12B5"/>
    <w:rsid w:val="009A13D8"/>
    <w:rsid w:val="009A26AF"/>
    <w:rsid w:val="009A279E"/>
    <w:rsid w:val="009A2A1C"/>
    <w:rsid w:val="009A3015"/>
    <w:rsid w:val="009A31B0"/>
    <w:rsid w:val="009A3490"/>
    <w:rsid w:val="009A37FC"/>
    <w:rsid w:val="009A442B"/>
    <w:rsid w:val="009A47F1"/>
    <w:rsid w:val="009A4A6C"/>
    <w:rsid w:val="009A5165"/>
    <w:rsid w:val="009A51D9"/>
    <w:rsid w:val="009A550C"/>
    <w:rsid w:val="009A556E"/>
    <w:rsid w:val="009A7257"/>
    <w:rsid w:val="009B0A6F"/>
    <w:rsid w:val="009B0A94"/>
    <w:rsid w:val="009B0C62"/>
    <w:rsid w:val="009B1001"/>
    <w:rsid w:val="009B108E"/>
    <w:rsid w:val="009B2702"/>
    <w:rsid w:val="009B2AE8"/>
    <w:rsid w:val="009B2C6C"/>
    <w:rsid w:val="009B43CE"/>
    <w:rsid w:val="009B4431"/>
    <w:rsid w:val="009B4933"/>
    <w:rsid w:val="009B4FF5"/>
    <w:rsid w:val="009B53F0"/>
    <w:rsid w:val="009B561B"/>
    <w:rsid w:val="009B5622"/>
    <w:rsid w:val="009B59E9"/>
    <w:rsid w:val="009B667B"/>
    <w:rsid w:val="009B70AA"/>
    <w:rsid w:val="009C1958"/>
    <w:rsid w:val="009C1EF6"/>
    <w:rsid w:val="009C245E"/>
    <w:rsid w:val="009C34D1"/>
    <w:rsid w:val="009C3894"/>
    <w:rsid w:val="009C443A"/>
    <w:rsid w:val="009C466B"/>
    <w:rsid w:val="009C485C"/>
    <w:rsid w:val="009C555F"/>
    <w:rsid w:val="009C5E77"/>
    <w:rsid w:val="009C7A16"/>
    <w:rsid w:val="009C7A7E"/>
    <w:rsid w:val="009D02E8"/>
    <w:rsid w:val="009D040E"/>
    <w:rsid w:val="009D0DB9"/>
    <w:rsid w:val="009D12EC"/>
    <w:rsid w:val="009D3298"/>
    <w:rsid w:val="009D4165"/>
    <w:rsid w:val="009D44C4"/>
    <w:rsid w:val="009D4903"/>
    <w:rsid w:val="009D51D0"/>
    <w:rsid w:val="009D58E6"/>
    <w:rsid w:val="009D59AD"/>
    <w:rsid w:val="009D6012"/>
    <w:rsid w:val="009D6553"/>
    <w:rsid w:val="009D70A4"/>
    <w:rsid w:val="009D7294"/>
    <w:rsid w:val="009D7B14"/>
    <w:rsid w:val="009E080C"/>
    <w:rsid w:val="009E08D1"/>
    <w:rsid w:val="009E0D96"/>
    <w:rsid w:val="009E1119"/>
    <w:rsid w:val="009E12DC"/>
    <w:rsid w:val="009E14BA"/>
    <w:rsid w:val="009E1B95"/>
    <w:rsid w:val="009E1BFC"/>
    <w:rsid w:val="009E2D89"/>
    <w:rsid w:val="009E3AC1"/>
    <w:rsid w:val="009E496F"/>
    <w:rsid w:val="009E4B0D"/>
    <w:rsid w:val="009E4D4A"/>
    <w:rsid w:val="009E4FC1"/>
    <w:rsid w:val="009E500A"/>
    <w:rsid w:val="009E5250"/>
    <w:rsid w:val="009E5B99"/>
    <w:rsid w:val="009E7A69"/>
    <w:rsid w:val="009E7F92"/>
    <w:rsid w:val="009F02A3"/>
    <w:rsid w:val="009F0BFA"/>
    <w:rsid w:val="009F0C10"/>
    <w:rsid w:val="009F2182"/>
    <w:rsid w:val="009F2F27"/>
    <w:rsid w:val="009F34AA"/>
    <w:rsid w:val="009F3D9F"/>
    <w:rsid w:val="009F4F26"/>
    <w:rsid w:val="009F6BCB"/>
    <w:rsid w:val="009F7B78"/>
    <w:rsid w:val="00A00035"/>
    <w:rsid w:val="00A003FA"/>
    <w:rsid w:val="00A0057A"/>
    <w:rsid w:val="00A01586"/>
    <w:rsid w:val="00A018FF"/>
    <w:rsid w:val="00A01A39"/>
    <w:rsid w:val="00A01C5B"/>
    <w:rsid w:val="00A01F8E"/>
    <w:rsid w:val="00A0239A"/>
    <w:rsid w:val="00A02FA1"/>
    <w:rsid w:val="00A04402"/>
    <w:rsid w:val="00A04CCE"/>
    <w:rsid w:val="00A0556D"/>
    <w:rsid w:val="00A05C2D"/>
    <w:rsid w:val="00A07421"/>
    <w:rsid w:val="00A0776B"/>
    <w:rsid w:val="00A07C31"/>
    <w:rsid w:val="00A10FB9"/>
    <w:rsid w:val="00A11421"/>
    <w:rsid w:val="00A121C3"/>
    <w:rsid w:val="00A124F2"/>
    <w:rsid w:val="00A130FF"/>
    <w:rsid w:val="00A1389F"/>
    <w:rsid w:val="00A13B7A"/>
    <w:rsid w:val="00A14143"/>
    <w:rsid w:val="00A14589"/>
    <w:rsid w:val="00A14F58"/>
    <w:rsid w:val="00A157B1"/>
    <w:rsid w:val="00A1655F"/>
    <w:rsid w:val="00A16E81"/>
    <w:rsid w:val="00A1739E"/>
    <w:rsid w:val="00A1770E"/>
    <w:rsid w:val="00A20142"/>
    <w:rsid w:val="00A2168F"/>
    <w:rsid w:val="00A22025"/>
    <w:rsid w:val="00A22182"/>
    <w:rsid w:val="00A22229"/>
    <w:rsid w:val="00A22C05"/>
    <w:rsid w:val="00A23E7D"/>
    <w:rsid w:val="00A24442"/>
    <w:rsid w:val="00A24ADA"/>
    <w:rsid w:val="00A25426"/>
    <w:rsid w:val="00A266E8"/>
    <w:rsid w:val="00A26AFE"/>
    <w:rsid w:val="00A271D8"/>
    <w:rsid w:val="00A27217"/>
    <w:rsid w:val="00A30AB5"/>
    <w:rsid w:val="00A318F2"/>
    <w:rsid w:val="00A32577"/>
    <w:rsid w:val="00A32760"/>
    <w:rsid w:val="00A330BB"/>
    <w:rsid w:val="00A33366"/>
    <w:rsid w:val="00A33B0F"/>
    <w:rsid w:val="00A34703"/>
    <w:rsid w:val="00A34822"/>
    <w:rsid w:val="00A3494F"/>
    <w:rsid w:val="00A34B95"/>
    <w:rsid w:val="00A35ED1"/>
    <w:rsid w:val="00A370B4"/>
    <w:rsid w:val="00A37B0A"/>
    <w:rsid w:val="00A40554"/>
    <w:rsid w:val="00A4176B"/>
    <w:rsid w:val="00A41D05"/>
    <w:rsid w:val="00A4333E"/>
    <w:rsid w:val="00A44675"/>
    <w:rsid w:val="00A446F5"/>
    <w:rsid w:val="00A44882"/>
    <w:rsid w:val="00A45125"/>
    <w:rsid w:val="00A477F0"/>
    <w:rsid w:val="00A47932"/>
    <w:rsid w:val="00A47D3C"/>
    <w:rsid w:val="00A500F6"/>
    <w:rsid w:val="00A513D8"/>
    <w:rsid w:val="00A519B8"/>
    <w:rsid w:val="00A528AA"/>
    <w:rsid w:val="00A5391F"/>
    <w:rsid w:val="00A54715"/>
    <w:rsid w:val="00A55486"/>
    <w:rsid w:val="00A558EE"/>
    <w:rsid w:val="00A56469"/>
    <w:rsid w:val="00A5659B"/>
    <w:rsid w:val="00A567C3"/>
    <w:rsid w:val="00A572CF"/>
    <w:rsid w:val="00A6061C"/>
    <w:rsid w:val="00A60E31"/>
    <w:rsid w:val="00A61393"/>
    <w:rsid w:val="00A61879"/>
    <w:rsid w:val="00A61F7A"/>
    <w:rsid w:val="00A62D44"/>
    <w:rsid w:val="00A62DB8"/>
    <w:rsid w:val="00A6354C"/>
    <w:rsid w:val="00A650DC"/>
    <w:rsid w:val="00A65BF3"/>
    <w:rsid w:val="00A662F6"/>
    <w:rsid w:val="00A669E9"/>
    <w:rsid w:val="00A67263"/>
    <w:rsid w:val="00A67A44"/>
    <w:rsid w:val="00A7028B"/>
    <w:rsid w:val="00A70852"/>
    <w:rsid w:val="00A70ADC"/>
    <w:rsid w:val="00A70C33"/>
    <w:rsid w:val="00A7161C"/>
    <w:rsid w:val="00A71CE4"/>
    <w:rsid w:val="00A71EA2"/>
    <w:rsid w:val="00A72010"/>
    <w:rsid w:val="00A72298"/>
    <w:rsid w:val="00A728B2"/>
    <w:rsid w:val="00A72A6C"/>
    <w:rsid w:val="00A74CDD"/>
    <w:rsid w:val="00A754DF"/>
    <w:rsid w:val="00A77AA3"/>
    <w:rsid w:val="00A77EF4"/>
    <w:rsid w:val="00A81E5A"/>
    <w:rsid w:val="00A8236D"/>
    <w:rsid w:val="00A82CDE"/>
    <w:rsid w:val="00A8366F"/>
    <w:rsid w:val="00A84C51"/>
    <w:rsid w:val="00A84EFC"/>
    <w:rsid w:val="00A854EB"/>
    <w:rsid w:val="00A862B3"/>
    <w:rsid w:val="00A86894"/>
    <w:rsid w:val="00A86C35"/>
    <w:rsid w:val="00A86F71"/>
    <w:rsid w:val="00A872C6"/>
    <w:rsid w:val="00A872E5"/>
    <w:rsid w:val="00A901D6"/>
    <w:rsid w:val="00A902FE"/>
    <w:rsid w:val="00A91406"/>
    <w:rsid w:val="00A935A5"/>
    <w:rsid w:val="00A93B44"/>
    <w:rsid w:val="00A9464E"/>
    <w:rsid w:val="00A95F7D"/>
    <w:rsid w:val="00A9632E"/>
    <w:rsid w:val="00A96E65"/>
    <w:rsid w:val="00A96ECE"/>
    <w:rsid w:val="00A97C72"/>
    <w:rsid w:val="00A97E57"/>
    <w:rsid w:val="00AA0D21"/>
    <w:rsid w:val="00AA138A"/>
    <w:rsid w:val="00AA1F05"/>
    <w:rsid w:val="00AA310B"/>
    <w:rsid w:val="00AA4CFA"/>
    <w:rsid w:val="00AA5615"/>
    <w:rsid w:val="00AA5E9A"/>
    <w:rsid w:val="00AA5EA6"/>
    <w:rsid w:val="00AA63D4"/>
    <w:rsid w:val="00AA7C63"/>
    <w:rsid w:val="00AB06E8"/>
    <w:rsid w:val="00AB1CD3"/>
    <w:rsid w:val="00AB1D1C"/>
    <w:rsid w:val="00AB1D8D"/>
    <w:rsid w:val="00AB23F8"/>
    <w:rsid w:val="00AB352F"/>
    <w:rsid w:val="00AB44FB"/>
    <w:rsid w:val="00AB46AD"/>
    <w:rsid w:val="00AB4F95"/>
    <w:rsid w:val="00AB5E69"/>
    <w:rsid w:val="00AB6A98"/>
    <w:rsid w:val="00AB6FCD"/>
    <w:rsid w:val="00AB7908"/>
    <w:rsid w:val="00AC0079"/>
    <w:rsid w:val="00AC0CF9"/>
    <w:rsid w:val="00AC0D76"/>
    <w:rsid w:val="00AC18B0"/>
    <w:rsid w:val="00AC274B"/>
    <w:rsid w:val="00AC39CC"/>
    <w:rsid w:val="00AC3BFA"/>
    <w:rsid w:val="00AC3ED5"/>
    <w:rsid w:val="00AC4764"/>
    <w:rsid w:val="00AC4A14"/>
    <w:rsid w:val="00AC4D9B"/>
    <w:rsid w:val="00AC4E55"/>
    <w:rsid w:val="00AC525C"/>
    <w:rsid w:val="00AC5AB0"/>
    <w:rsid w:val="00AC633D"/>
    <w:rsid w:val="00AC6D36"/>
    <w:rsid w:val="00AC704A"/>
    <w:rsid w:val="00AC7B32"/>
    <w:rsid w:val="00AD0657"/>
    <w:rsid w:val="00AD0861"/>
    <w:rsid w:val="00AD0CBA"/>
    <w:rsid w:val="00AD1872"/>
    <w:rsid w:val="00AD1889"/>
    <w:rsid w:val="00AD1DFF"/>
    <w:rsid w:val="00AD26E2"/>
    <w:rsid w:val="00AD27DC"/>
    <w:rsid w:val="00AD2E0E"/>
    <w:rsid w:val="00AD37E7"/>
    <w:rsid w:val="00AD57EB"/>
    <w:rsid w:val="00AD5AD2"/>
    <w:rsid w:val="00AD62DC"/>
    <w:rsid w:val="00AD665C"/>
    <w:rsid w:val="00AD6D83"/>
    <w:rsid w:val="00AD784C"/>
    <w:rsid w:val="00AD7FD2"/>
    <w:rsid w:val="00AE117F"/>
    <w:rsid w:val="00AE126A"/>
    <w:rsid w:val="00AE1BAE"/>
    <w:rsid w:val="00AE3005"/>
    <w:rsid w:val="00AE336C"/>
    <w:rsid w:val="00AE3BD5"/>
    <w:rsid w:val="00AE42E1"/>
    <w:rsid w:val="00AE4C32"/>
    <w:rsid w:val="00AE59A0"/>
    <w:rsid w:val="00AE6101"/>
    <w:rsid w:val="00AE6A50"/>
    <w:rsid w:val="00AF00B2"/>
    <w:rsid w:val="00AF0C57"/>
    <w:rsid w:val="00AF1BE5"/>
    <w:rsid w:val="00AF23C4"/>
    <w:rsid w:val="00AF26F3"/>
    <w:rsid w:val="00AF2FB4"/>
    <w:rsid w:val="00AF355C"/>
    <w:rsid w:val="00AF36B2"/>
    <w:rsid w:val="00AF392E"/>
    <w:rsid w:val="00AF3BD7"/>
    <w:rsid w:val="00AF3FA9"/>
    <w:rsid w:val="00AF4C3D"/>
    <w:rsid w:val="00AF5241"/>
    <w:rsid w:val="00AF5F04"/>
    <w:rsid w:val="00AF6591"/>
    <w:rsid w:val="00AF6E0E"/>
    <w:rsid w:val="00AF7097"/>
    <w:rsid w:val="00B002F1"/>
    <w:rsid w:val="00B00672"/>
    <w:rsid w:val="00B00953"/>
    <w:rsid w:val="00B00C69"/>
    <w:rsid w:val="00B00C97"/>
    <w:rsid w:val="00B01AF0"/>
    <w:rsid w:val="00B01B4D"/>
    <w:rsid w:val="00B03574"/>
    <w:rsid w:val="00B0397F"/>
    <w:rsid w:val="00B04489"/>
    <w:rsid w:val="00B0515F"/>
    <w:rsid w:val="00B06571"/>
    <w:rsid w:val="00B067E7"/>
    <w:rsid w:val="00B068BA"/>
    <w:rsid w:val="00B07183"/>
    <w:rsid w:val="00B07217"/>
    <w:rsid w:val="00B07296"/>
    <w:rsid w:val="00B110E6"/>
    <w:rsid w:val="00B1141E"/>
    <w:rsid w:val="00B121E7"/>
    <w:rsid w:val="00B13851"/>
    <w:rsid w:val="00B13B1C"/>
    <w:rsid w:val="00B14B5F"/>
    <w:rsid w:val="00B15715"/>
    <w:rsid w:val="00B17540"/>
    <w:rsid w:val="00B2044A"/>
    <w:rsid w:val="00B20BA0"/>
    <w:rsid w:val="00B20C02"/>
    <w:rsid w:val="00B20DC2"/>
    <w:rsid w:val="00B21400"/>
    <w:rsid w:val="00B218E8"/>
    <w:rsid w:val="00B21F90"/>
    <w:rsid w:val="00B22269"/>
    <w:rsid w:val="00B22291"/>
    <w:rsid w:val="00B23F9A"/>
    <w:rsid w:val="00B2417B"/>
    <w:rsid w:val="00B24E6F"/>
    <w:rsid w:val="00B2561E"/>
    <w:rsid w:val="00B2573E"/>
    <w:rsid w:val="00B25BBE"/>
    <w:rsid w:val="00B25FEF"/>
    <w:rsid w:val="00B26CB5"/>
    <w:rsid w:val="00B26DED"/>
    <w:rsid w:val="00B2752E"/>
    <w:rsid w:val="00B307CC"/>
    <w:rsid w:val="00B31204"/>
    <w:rsid w:val="00B32297"/>
    <w:rsid w:val="00B326B7"/>
    <w:rsid w:val="00B34D40"/>
    <w:rsid w:val="00B350B4"/>
    <w:rsid w:val="00B352DA"/>
    <w:rsid w:val="00B3588E"/>
    <w:rsid w:val="00B362F5"/>
    <w:rsid w:val="00B36C57"/>
    <w:rsid w:val="00B37F23"/>
    <w:rsid w:val="00B40625"/>
    <w:rsid w:val="00B406AA"/>
    <w:rsid w:val="00B40ABF"/>
    <w:rsid w:val="00B4119D"/>
    <w:rsid w:val="00B4134B"/>
    <w:rsid w:val="00B415AE"/>
    <w:rsid w:val="00B4198F"/>
    <w:rsid w:val="00B41E37"/>
    <w:rsid w:val="00B41F3D"/>
    <w:rsid w:val="00B4291D"/>
    <w:rsid w:val="00B42B1C"/>
    <w:rsid w:val="00B431E8"/>
    <w:rsid w:val="00B439B0"/>
    <w:rsid w:val="00B4461E"/>
    <w:rsid w:val="00B44DA8"/>
    <w:rsid w:val="00B45141"/>
    <w:rsid w:val="00B45AD5"/>
    <w:rsid w:val="00B46AEB"/>
    <w:rsid w:val="00B475AD"/>
    <w:rsid w:val="00B51483"/>
    <w:rsid w:val="00B519CD"/>
    <w:rsid w:val="00B5273A"/>
    <w:rsid w:val="00B53776"/>
    <w:rsid w:val="00B540D1"/>
    <w:rsid w:val="00B540D2"/>
    <w:rsid w:val="00B54608"/>
    <w:rsid w:val="00B54A4D"/>
    <w:rsid w:val="00B55A1E"/>
    <w:rsid w:val="00B55BE2"/>
    <w:rsid w:val="00B55E63"/>
    <w:rsid w:val="00B572AA"/>
    <w:rsid w:val="00B57329"/>
    <w:rsid w:val="00B60B19"/>
    <w:rsid w:val="00B60E61"/>
    <w:rsid w:val="00B618D8"/>
    <w:rsid w:val="00B62B50"/>
    <w:rsid w:val="00B62B9D"/>
    <w:rsid w:val="00B635B7"/>
    <w:rsid w:val="00B63AE8"/>
    <w:rsid w:val="00B63F12"/>
    <w:rsid w:val="00B64897"/>
    <w:rsid w:val="00B64D25"/>
    <w:rsid w:val="00B6528C"/>
    <w:rsid w:val="00B653DC"/>
    <w:rsid w:val="00B65950"/>
    <w:rsid w:val="00B66D83"/>
    <w:rsid w:val="00B672C0"/>
    <w:rsid w:val="00B676FD"/>
    <w:rsid w:val="00B678B6"/>
    <w:rsid w:val="00B7105A"/>
    <w:rsid w:val="00B71E61"/>
    <w:rsid w:val="00B73726"/>
    <w:rsid w:val="00B7397B"/>
    <w:rsid w:val="00B742C0"/>
    <w:rsid w:val="00B74373"/>
    <w:rsid w:val="00B75646"/>
    <w:rsid w:val="00B7629E"/>
    <w:rsid w:val="00B773E3"/>
    <w:rsid w:val="00B77620"/>
    <w:rsid w:val="00B7798D"/>
    <w:rsid w:val="00B77DEB"/>
    <w:rsid w:val="00B77F7C"/>
    <w:rsid w:val="00B80E47"/>
    <w:rsid w:val="00B81A76"/>
    <w:rsid w:val="00B82245"/>
    <w:rsid w:val="00B8246E"/>
    <w:rsid w:val="00B8415C"/>
    <w:rsid w:val="00B842E9"/>
    <w:rsid w:val="00B8762B"/>
    <w:rsid w:val="00B8763B"/>
    <w:rsid w:val="00B90729"/>
    <w:rsid w:val="00B907DA"/>
    <w:rsid w:val="00B90A0D"/>
    <w:rsid w:val="00B90B09"/>
    <w:rsid w:val="00B91F9C"/>
    <w:rsid w:val="00B923FB"/>
    <w:rsid w:val="00B9332E"/>
    <w:rsid w:val="00B948DE"/>
    <w:rsid w:val="00B94C5E"/>
    <w:rsid w:val="00B950BC"/>
    <w:rsid w:val="00B962E1"/>
    <w:rsid w:val="00B96577"/>
    <w:rsid w:val="00B96BC2"/>
    <w:rsid w:val="00B9714C"/>
    <w:rsid w:val="00BA0AD4"/>
    <w:rsid w:val="00BA26F6"/>
    <w:rsid w:val="00BA29AD"/>
    <w:rsid w:val="00BA2D95"/>
    <w:rsid w:val="00BA2EBB"/>
    <w:rsid w:val="00BA33CF"/>
    <w:rsid w:val="00BA360F"/>
    <w:rsid w:val="00BA3886"/>
    <w:rsid w:val="00BA3952"/>
    <w:rsid w:val="00BA3B78"/>
    <w:rsid w:val="00BA3F8D"/>
    <w:rsid w:val="00BA4DB4"/>
    <w:rsid w:val="00BA5AA4"/>
    <w:rsid w:val="00BA5AB0"/>
    <w:rsid w:val="00BA5C32"/>
    <w:rsid w:val="00BA6529"/>
    <w:rsid w:val="00BB04E1"/>
    <w:rsid w:val="00BB27B1"/>
    <w:rsid w:val="00BB30D3"/>
    <w:rsid w:val="00BB3B06"/>
    <w:rsid w:val="00BB5536"/>
    <w:rsid w:val="00BB56CB"/>
    <w:rsid w:val="00BB5B13"/>
    <w:rsid w:val="00BB74AC"/>
    <w:rsid w:val="00BB7A10"/>
    <w:rsid w:val="00BC0393"/>
    <w:rsid w:val="00BC05AF"/>
    <w:rsid w:val="00BC05B4"/>
    <w:rsid w:val="00BC07E9"/>
    <w:rsid w:val="00BC090A"/>
    <w:rsid w:val="00BC168F"/>
    <w:rsid w:val="00BC2CB7"/>
    <w:rsid w:val="00BC3007"/>
    <w:rsid w:val="00BC4049"/>
    <w:rsid w:val="00BC4DE4"/>
    <w:rsid w:val="00BC60BE"/>
    <w:rsid w:val="00BC6B0D"/>
    <w:rsid w:val="00BC7468"/>
    <w:rsid w:val="00BC7614"/>
    <w:rsid w:val="00BC7D4F"/>
    <w:rsid w:val="00BC7ED7"/>
    <w:rsid w:val="00BD09C7"/>
    <w:rsid w:val="00BD0EAF"/>
    <w:rsid w:val="00BD1211"/>
    <w:rsid w:val="00BD134F"/>
    <w:rsid w:val="00BD2850"/>
    <w:rsid w:val="00BD396D"/>
    <w:rsid w:val="00BD53FA"/>
    <w:rsid w:val="00BD590D"/>
    <w:rsid w:val="00BD5FA8"/>
    <w:rsid w:val="00BD6512"/>
    <w:rsid w:val="00BD6B9D"/>
    <w:rsid w:val="00BE0508"/>
    <w:rsid w:val="00BE0901"/>
    <w:rsid w:val="00BE0B6B"/>
    <w:rsid w:val="00BE0CFE"/>
    <w:rsid w:val="00BE1C85"/>
    <w:rsid w:val="00BE28D2"/>
    <w:rsid w:val="00BE3896"/>
    <w:rsid w:val="00BE3A8B"/>
    <w:rsid w:val="00BE41CE"/>
    <w:rsid w:val="00BE4A64"/>
    <w:rsid w:val="00BE5867"/>
    <w:rsid w:val="00BE5E43"/>
    <w:rsid w:val="00BE6190"/>
    <w:rsid w:val="00BE772F"/>
    <w:rsid w:val="00BF038E"/>
    <w:rsid w:val="00BF06FC"/>
    <w:rsid w:val="00BF0C26"/>
    <w:rsid w:val="00BF0FDB"/>
    <w:rsid w:val="00BF11C7"/>
    <w:rsid w:val="00BF12E5"/>
    <w:rsid w:val="00BF2B8F"/>
    <w:rsid w:val="00BF3004"/>
    <w:rsid w:val="00BF3014"/>
    <w:rsid w:val="00BF33C0"/>
    <w:rsid w:val="00BF557D"/>
    <w:rsid w:val="00BF658D"/>
    <w:rsid w:val="00BF6CB5"/>
    <w:rsid w:val="00BF6D6A"/>
    <w:rsid w:val="00BF7F58"/>
    <w:rsid w:val="00C004CC"/>
    <w:rsid w:val="00C006E3"/>
    <w:rsid w:val="00C00A42"/>
    <w:rsid w:val="00C01381"/>
    <w:rsid w:val="00C016F0"/>
    <w:rsid w:val="00C01AB1"/>
    <w:rsid w:val="00C020B9"/>
    <w:rsid w:val="00C0256E"/>
    <w:rsid w:val="00C026A0"/>
    <w:rsid w:val="00C02AB5"/>
    <w:rsid w:val="00C03E77"/>
    <w:rsid w:val="00C049FD"/>
    <w:rsid w:val="00C05DED"/>
    <w:rsid w:val="00C06137"/>
    <w:rsid w:val="00C06929"/>
    <w:rsid w:val="00C07522"/>
    <w:rsid w:val="00C079B8"/>
    <w:rsid w:val="00C07A44"/>
    <w:rsid w:val="00C07CF0"/>
    <w:rsid w:val="00C10037"/>
    <w:rsid w:val="00C114B0"/>
    <w:rsid w:val="00C115E1"/>
    <w:rsid w:val="00C11C78"/>
    <w:rsid w:val="00C11F59"/>
    <w:rsid w:val="00C123EA"/>
    <w:rsid w:val="00C12A49"/>
    <w:rsid w:val="00C12BAB"/>
    <w:rsid w:val="00C12C09"/>
    <w:rsid w:val="00C133EE"/>
    <w:rsid w:val="00C135F3"/>
    <w:rsid w:val="00C14309"/>
    <w:rsid w:val="00C146F4"/>
    <w:rsid w:val="00C149D0"/>
    <w:rsid w:val="00C1572B"/>
    <w:rsid w:val="00C15F2A"/>
    <w:rsid w:val="00C16165"/>
    <w:rsid w:val="00C1701B"/>
    <w:rsid w:val="00C17F5A"/>
    <w:rsid w:val="00C20E9C"/>
    <w:rsid w:val="00C2101B"/>
    <w:rsid w:val="00C21D88"/>
    <w:rsid w:val="00C231AF"/>
    <w:rsid w:val="00C23BE3"/>
    <w:rsid w:val="00C26588"/>
    <w:rsid w:val="00C26CEF"/>
    <w:rsid w:val="00C27CC6"/>
    <w:rsid w:val="00C27DE9"/>
    <w:rsid w:val="00C27E0C"/>
    <w:rsid w:val="00C3097E"/>
    <w:rsid w:val="00C309A3"/>
    <w:rsid w:val="00C30F5F"/>
    <w:rsid w:val="00C32989"/>
    <w:rsid w:val="00C33388"/>
    <w:rsid w:val="00C3530E"/>
    <w:rsid w:val="00C35484"/>
    <w:rsid w:val="00C37982"/>
    <w:rsid w:val="00C37C14"/>
    <w:rsid w:val="00C404CF"/>
    <w:rsid w:val="00C4173A"/>
    <w:rsid w:val="00C42F75"/>
    <w:rsid w:val="00C438AC"/>
    <w:rsid w:val="00C4414A"/>
    <w:rsid w:val="00C442AC"/>
    <w:rsid w:val="00C44B77"/>
    <w:rsid w:val="00C450EA"/>
    <w:rsid w:val="00C451EA"/>
    <w:rsid w:val="00C46725"/>
    <w:rsid w:val="00C46EA4"/>
    <w:rsid w:val="00C46F3C"/>
    <w:rsid w:val="00C471E3"/>
    <w:rsid w:val="00C47AD4"/>
    <w:rsid w:val="00C47FF7"/>
    <w:rsid w:val="00C50818"/>
    <w:rsid w:val="00C50DED"/>
    <w:rsid w:val="00C51431"/>
    <w:rsid w:val="00C51A34"/>
    <w:rsid w:val="00C51B39"/>
    <w:rsid w:val="00C52217"/>
    <w:rsid w:val="00C52465"/>
    <w:rsid w:val="00C528AC"/>
    <w:rsid w:val="00C53544"/>
    <w:rsid w:val="00C53F95"/>
    <w:rsid w:val="00C548C9"/>
    <w:rsid w:val="00C553C2"/>
    <w:rsid w:val="00C55DB6"/>
    <w:rsid w:val="00C56B82"/>
    <w:rsid w:val="00C602FF"/>
    <w:rsid w:val="00C60411"/>
    <w:rsid w:val="00C60666"/>
    <w:rsid w:val="00C608E5"/>
    <w:rsid w:val="00C60BD5"/>
    <w:rsid w:val="00C60F1A"/>
    <w:rsid w:val="00C61174"/>
    <w:rsid w:val="00C6148F"/>
    <w:rsid w:val="00C621B1"/>
    <w:rsid w:val="00C62228"/>
    <w:rsid w:val="00C627CF"/>
    <w:rsid w:val="00C62F7A"/>
    <w:rsid w:val="00C63544"/>
    <w:rsid w:val="00C63549"/>
    <w:rsid w:val="00C63B3C"/>
    <w:rsid w:val="00C63B9C"/>
    <w:rsid w:val="00C63BFF"/>
    <w:rsid w:val="00C65679"/>
    <w:rsid w:val="00C6682F"/>
    <w:rsid w:val="00C675EA"/>
    <w:rsid w:val="00C67BF4"/>
    <w:rsid w:val="00C67E0A"/>
    <w:rsid w:val="00C7228E"/>
    <w:rsid w:val="00C726A0"/>
    <w:rsid w:val="00C72723"/>
    <w:rsid w:val="00C7275E"/>
    <w:rsid w:val="00C731AF"/>
    <w:rsid w:val="00C74B73"/>
    <w:rsid w:val="00C74C5D"/>
    <w:rsid w:val="00C75085"/>
    <w:rsid w:val="00C7510A"/>
    <w:rsid w:val="00C75338"/>
    <w:rsid w:val="00C75FD2"/>
    <w:rsid w:val="00C77B3C"/>
    <w:rsid w:val="00C80E19"/>
    <w:rsid w:val="00C81356"/>
    <w:rsid w:val="00C8257B"/>
    <w:rsid w:val="00C8420F"/>
    <w:rsid w:val="00C8507E"/>
    <w:rsid w:val="00C853D7"/>
    <w:rsid w:val="00C85ED3"/>
    <w:rsid w:val="00C863C4"/>
    <w:rsid w:val="00C86E46"/>
    <w:rsid w:val="00C87C3D"/>
    <w:rsid w:val="00C87FE5"/>
    <w:rsid w:val="00C90DAB"/>
    <w:rsid w:val="00C916C2"/>
    <w:rsid w:val="00C91851"/>
    <w:rsid w:val="00C920EA"/>
    <w:rsid w:val="00C9218B"/>
    <w:rsid w:val="00C92F27"/>
    <w:rsid w:val="00C93C3E"/>
    <w:rsid w:val="00C9547E"/>
    <w:rsid w:val="00C963F8"/>
    <w:rsid w:val="00C967D8"/>
    <w:rsid w:val="00C97E85"/>
    <w:rsid w:val="00CA0243"/>
    <w:rsid w:val="00CA0EF9"/>
    <w:rsid w:val="00CA12E3"/>
    <w:rsid w:val="00CA1476"/>
    <w:rsid w:val="00CA22A0"/>
    <w:rsid w:val="00CA3EB0"/>
    <w:rsid w:val="00CA6611"/>
    <w:rsid w:val="00CA691E"/>
    <w:rsid w:val="00CA6AE6"/>
    <w:rsid w:val="00CA782F"/>
    <w:rsid w:val="00CA7B52"/>
    <w:rsid w:val="00CB1131"/>
    <w:rsid w:val="00CB187B"/>
    <w:rsid w:val="00CB2835"/>
    <w:rsid w:val="00CB2B91"/>
    <w:rsid w:val="00CB30AF"/>
    <w:rsid w:val="00CB3285"/>
    <w:rsid w:val="00CB4500"/>
    <w:rsid w:val="00CB4965"/>
    <w:rsid w:val="00CB4BE0"/>
    <w:rsid w:val="00CB76AC"/>
    <w:rsid w:val="00CB7E6A"/>
    <w:rsid w:val="00CB7F9B"/>
    <w:rsid w:val="00CC0564"/>
    <w:rsid w:val="00CC059B"/>
    <w:rsid w:val="00CC0C72"/>
    <w:rsid w:val="00CC2454"/>
    <w:rsid w:val="00CC2A72"/>
    <w:rsid w:val="00CC2BFD"/>
    <w:rsid w:val="00CC2E69"/>
    <w:rsid w:val="00CC30CD"/>
    <w:rsid w:val="00CC30F7"/>
    <w:rsid w:val="00CC3BB0"/>
    <w:rsid w:val="00CC4089"/>
    <w:rsid w:val="00CC4A18"/>
    <w:rsid w:val="00CC5A0C"/>
    <w:rsid w:val="00CC5C04"/>
    <w:rsid w:val="00CC64C8"/>
    <w:rsid w:val="00CC6F40"/>
    <w:rsid w:val="00CC75DA"/>
    <w:rsid w:val="00CC763F"/>
    <w:rsid w:val="00CD00EB"/>
    <w:rsid w:val="00CD053B"/>
    <w:rsid w:val="00CD17D2"/>
    <w:rsid w:val="00CD2300"/>
    <w:rsid w:val="00CD2609"/>
    <w:rsid w:val="00CD3476"/>
    <w:rsid w:val="00CD3FF1"/>
    <w:rsid w:val="00CD423B"/>
    <w:rsid w:val="00CD46AB"/>
    <w:rsid w:val="00CD4A3A"/>
    <w:rsid w:val="00CD4ED5"/>
    <w:rsid w:val="00CD5BA5"/>
    <w:rsid w:val="00CD64DF"/>
    <w:rsid w:val="00CE0F71"/>
    <w:rsid w:val="00CE181A"/>
    <w:rsid w:val="00CE225F"/>
    <w:rsid w:val="00CE22B2"/>
    <w:rsid w:val="00CE2850"/>
    <w:rsid w:val="00CE2A66"/>
    <w:rsid w:val="00CE2BCD"/>
    <w:rsid w:val="00CE33E6"/>
    <w:rsid w:val="00CE4262"/>
    <w:rsid w:val="00CE44AF"/>
    <w:rsid w:val="00CE4973"/>
    <w:rsid w:val="00CE5A7A"/>
    <w:rsid w:val="00CE6582"/>
    <w:rsid w:val="00CE6AC5"/>
    <w:rsid w:val="00CE7FFB"/>
    <w:rsid w:val="00CF051B"/>
    <w:rsid w:val="00CF0CA0"/>
    <w:rsid w:val="00CF23B3"/>
    <w:rsid w:val="00CF28ED"/>
    <w:rsid w:val="00CF2F50"/>
    <w:rsid w:val="00CF3DF4"/>
    <w:rsid w:val="00CF43F7"/>
    <w:rsid w:val="00CF4491"/>
    <w:rsid w:val="00CF4509"/>
    <w:rsid w:val="00CF59FE"/>
    <w:rsid w:val="00CF5BDB"/>
    <w:rsid w:val="00CF6198"/>
    <w:rsid w:val="00CF66BC"/>
    <w:rsid w:val="00D00B0D"/>
    <w:rsid w:val="00D01A49"/>
    <w:rsid w:val="00D02919"/>
    <w:rsid w:val="00D02EDF"/>
    <w:rsid w:val="00D033D0"/>
    <w:rsid w:val="00D04C61"/>
    <w:rsid w:val="00D056C7"/>
    <w:rsid w:val="00D05B8D"/>
    <w:rsid w:val="00D05B9B"/>
    <w:rsid w:val="00D05CBD"/>
    <w:rsid w:val="00D065A2"/>
    <w:rsid w:val="00D06BBB"/>
    <w:rsid w:val="00D06FAF"/>
    <w:rsid w:val="00D079AA"/>
    <w:rsid w:val="00D07EA8"/>
    <w:rsid w:val="00D07F00"/>
    <w:rsid w:val="00D1024B"/>
    <w:rsid w:val="00D1130F"/>
    <w:rsid w:val="00D143A4"/>
    <w:rsid w:val="00D144BA"/>
    <w:rsid w:val="00D14BD4"/>
    <w:rsid w:val="00D14C7F"/>
    <w:rsid w:val="00D15293"/>
    <w:rsid w:val="00D15C8E"/>
    <w:rsid w:val="00D168DB"/>
    <w:rsid w:val="00D16B8F"/>
    <w:rsid w:val="00D17B72"/>
    <w:rsid w:val="00D204AB"/>
    <w:rsid w:val="00D20C6B"/>
    <w:rsid w:val="00D21349"/>
    <w:rsid w:val="00D222B3"/>
    <w:rsid w:val="00D23E94"/>
    <w:rsid w:val="00D2509E"/>
    <w:rsid w:val="00D260C9"/>
    <w:rsid w:val="00D266D2"/>
    <w:rsid w:val="00D269DD"/>
    <w:rsid w:val="00D31340"/>
    <w:rsid w:val="00D315BD"/>
    <w:rsid w:val="00D3185C"/>
    <w:rsid w:val="00D3205F"/>
    <w:rsid w:val="00D3318E"/>
    <w:rsid w:val="00D3358D"/>
    <w:rsid w:val="00D33BDF"/>
    <w:rsid w:val="00D33E6A"/>
    <w:rsid w:val="00D33E72"/>
    <w:rsid w:val="00D33E89"/>
    <w:rsid w:val="00D34285"/>
    <w:rsid w:val="00D34FDF"/>
    <w:rsid w:val="00D35BD6"/>
    <w:rsid w:val="00D36006"/>
    <w:rsid w:val="00D361B5"/>
    <w:rsid w:val="00D411A2"/>
    <w:rsid w:val="00D41245"/>
    <w:rsid w:val="00D44678"/>
    <w:rsid w:val="00D44770"/>
    <w:rsid w:val="00D45450"/>
    <w:rsid w:val="00D45CAE"/>
    <w:rsid w:val="00D4606D"/>
    <w:rsid w:val="00D504B1"/>
    <w:rsid w:val="00D50B9C"/>
    <w:rsid w:val="00D51220"/>
    <w:rsid w:val="00D513AF"/>
    <w:rsid w:val="00D515F7"/>
    <w:rsid w:val="00D524D3"/>
    <w:rsid w:val="00D52D73"/>
    <w:rsid w:val="00D52E58"/>
    <w:rsid w:val="00D5315B"/>
    <w:rsid w:val="00D53BD0"/>
    <w:rsid w:val="00D5615A"/>
    <w:rsid w:val="00D56B20"/>
    <w:rsid w:val="00D578B3"/>
    <w:rsid w:val="00D60412"/>
    <w:rsid w:val="00D611E2"/>
    <w:rsid w:val="00D618F4"/>
    <w:rsid w:val="00D619E3"/>
    <w:rsid w:val="00D622BF"/>
    <w:rsid w:val="00D62A05"/>
    <w:rsid w:val="00D62B66"/>
    <w:rsid w:val="00D62D26"/>
    <w:rsid w:val="00D633AD"/>
    <w:rsid w:val="00D63406"/>
    <w:rsid w:val="00D63636"/>
    <w:rsid w:val="00D6569D"/>
    <w:rsid w:val="00D656EF"/>
    <w:rsid w:val="00D65CED"/>
    <w:rsid w:val="00D66DFE"/>
    <w:rsid w:val="00D66F84"/>
    <w:rsid w:val="00D67486"/>
    <w:rsid w:val="00D704D2"/>
    <w:rsid w:val="00D71015"/>
    <w:rsid w:val="00D714CC"/>
    <w:rsid w:val="00D71AB4"/>
    <w:rsid w:val="00D7267E"/>
    <w:rsid w:val="00D73C34"/>
    <w:rsid w:val="00D742E9"/>
    <w:rsid w:val="00D74E93"/>
    <w:rsid w:val="00D75418"/>
    <w:rsid w:val="00D75523"/>
    <w:rsid w:val="00D7581E"/>
    <w:rsid w:val="00D75EA7"/>
    <w:rsid w:val="00D76ECC"/>
    <w:rsid w:val="00D770B7"/>
    <w:rsid w:val="00D776C3"/>
    <w:rsid w:val="00D81226"/>
    <w:rsid w:val="00D81242"/>
    <w:rsid w:val="00D817BF"/>
    <w:rsid w:val="00D818F3"/>
    <w:rsid w:val="00D81ADF"/>
    <w:rsid w:val="00D81F21"/>
    <w:rsid w:val="00D82682"/>
    <w:rsid w:val="00D8361B"/>
    <w:rsid w:val="00D83E17"/>
    <w:rsid w:val="00D848B2"/>
    <w:rsid w:val="00D84AC4"/>
    <w:rsid w:val="00D84E99"/>
    <w:rsid w:val="00D85832"/>
    <w:rsid w:val="00D85CAF"/>
    <w:rsid w:val="00D864F2"/>
    <w:rsid w:val="00D86A5A"/>
    <w:rsid w:val="00D86D54"/>
    <w:rsid w:val="00D878EE"/>
    <w:rsid w:val="00D9010C"/>
    <w:rsid w:val="00D90E01"/>
    <w:rsid w:val="00D927FA"/>
    <w:rsid w:val="00D92D60"/>
    <w:rsid w:val="00D9347A"/>
    <w:rsid w:val="00D93D07"/>
    <w:rsid w:val="00D943F8"/>
    <w:rsid w:val="00D95470"/>
    <w:rsid w:val="00D962ED"/>
    <w:rsid w:val="00D96B55"/>
    <w:rsid w:val="00D97A79"/>
    <w:rsid w:val="00D97BA4"/>
    <w:rsid w:val="00D97E50"/>
    <w:rsid w:val="00DA083A"/>
    <w:rsid w:val="00DA11EA"/>
    <w:rsid w:val="00DA1CD3"/>
    <w:rsid w:val="00DA2565"/>
    <w:rsid w:val="00DA2619"/>
    <w:rsid w:val="00DA261A"/>
    <w:rsid w:val="00DA404B"/>
    <w:rsid w:val="00DA4239"/>
    <w:rsid w:val="00DA4557"/>
    <w:rsid w:val="00DA52AF"/>
    <w:rsid w:val="00DA53D3"/>
    <w:rsid w:val="00DA5550"/>
    <w:rsid w:val="00DA588C"/>
    <w:rsid w:val="00DA5BD3"/>
    <w:rsid w:val="00DA65DE"/>
    <w:rsid w:val="00DA6911"/>
    <w:rsid w:val="00DA6D57"/>
    <w:rsid w:val="00DA7B7A"/>
    <w:rsid w:val="00DB0B61"/>
    <w:rsid w:val="00DB0DE8"/>
    <w:rsid w:val="00DB1474"/>
    <w:rsid w:val="00DB27EF"/>
    <w:rsid w:val="00DB2962"/>
    <w:rsid w:val="00DB314D"/>
    <w:rsid w:val="00DB358D"/>
    <w:rsid w:val="00DB3C74"/>
    <w:rsid w:val="00DB52FB"/>
    <w:rsid w:val="00DB536D"/>
    <w:rsid w:val="00DB5CB4"/>
    <w:rsid w:val="00DB73F4"/>
    <w:rsid w:val="00DC013B"/>
    <w:rsid w:val="00DC0363"/>
    <w:rsid w:val="00DC08D9"/>
    <w:rsid w:val="00DC0903"/>
    <w:rsid w:val="00DC090B"/>
    <w:rsid w:val="00DC1679"/>
    <w:rsid w:val="00DC193D"/>
    <w:rsid w:val="00DC1B4B"/>
    <w:rsid w:val="00DC1B55"/>
    <w:rsid w:val="00DC219B"/>
    <w:rsid w:val="00DC2B36"/>
    <w:rsid w:val="00DC2CD8"/>
    <w:rsid w:val="00DC2CF1"/>
    <w:rsid w:val="00DC2DC7"/>
    <w:rsid w:val="00DC2DCF"/>
    <w:rsid w:val="00DC2EA0"/>
    <w:rsid w:val="00DC3A7C"/>
    <w:rsid w:val="00DC4FCF"/>
    <w:rsid w:val="00DC50E0"/>
    <w:rsid w:val="00DC6386"/>
    <w:rsid w:val="00DC63C6"/>
    <w:rsid w:val="00DC654A"/>
    <w:rsid w:val="00DC6A30"/>
    <w:rsid w:val="00DC6B75"/>
    <w:rsid w:val="00DD0974"/>
    <w:rsid w:val="00DD0BEC"/>
    <w:rsid w:val="00DD0F75"/>
    <w:rsid w:val="00DD1130"/>
    <w:rsid w:val="00DD1951"/>
    <w:rsid w:val="00DD1A92"/>
    <w:rsid w:val="00DD462F"/>
    <w:rsid w:val="00DD487D"/>
    <w:rsid w:val="00DD4E83"/>
    <w:rsid w:val="00DD4F4B"/>
    <w:rsid w:val="00DD6628"/>
    <w:rsid w:val="00DD6945"/>
    <w:rsid w:val="00DE026F"/>
    <w:rsid w:val="00DE032C"/>
    <w:rsid w:val="00DE08CF"/>
    <w:rsid w:val="00DE0B3A"/>
    <w:rsid w:val="00DE0EB2"/>
    <w:rsid w:val="00DE0EC8"/>
    <w:rsid w:val="00DE132A"/>
    <w:rsid w:val="00DE2131"/>
    <w:rsid w:val="00DE2D04"/>
    <w:rsid w:val="00DE320D"/>
    <w:rsid w:val="00DE3250"/>
    <w:rsid w:val="00DE34DA"/>
    <w:rsid w:val="00DE3F5F"/>
    <w:rsid w:val="00DE4BC9"/>
    <w:rsid w:val="00DE5575"/>
    <w:rsid w:val="00DE6028"/>
    <w:rsid w:val="00DE62FE"/>
    <w:rsid w:val="00DE6C85"/>
    <w:rsid w:val="00DE76C9"/>
    <w:rsid w:val="00DE78A3"/>
    <w:rsid w:val="00DE7F30"/>
    <w:rsid w:val="00DF0A6E"/>
    <w:rsid w:val="00DF1A71"/>
    <w:rsid w:val="00DF2C00"/>
    <w:rsid w:val="00DF2D96"/>
    <w:rsid w:val="00DF3BE7"/>
    <w:rsid w:val="00DF3D48"/>
    <w:rsid w:val="00DF445A"/>
    <w:rsid w:val="00DF4D30"/>
    <w:rsid w:val="00DF4D45"/>
    <w:rsid w:val="00DF50FC"/>
    <w:rsid w:val="00DF5356"/>
    <w:rsid w:val="00DF68C7"/>
    <w:rsid w:val="00DF6D61"/>
    <w:rsid w:val="00DF6F91"/>
    <w:rsid w:val="00DF731A"/>
    <w:rsid w:val="00DF73DD"/>
    <w:rsid w:val="00DF7EAA"/>
    <w:rsid w:val="00E00C52"/>
    <w:rsid w:val="00E02413"/>
    <w:rsid w:val="00E02E01"/>
    <w:rsid w:val="00E02E34"/>
    <w:rsid w:val="00E02FBF"/>
    <w:rsid w:val="00E031A3"/>
    <w:rsid w:val="00E03454"/>
    <w:rsid w:val="00E03A6E"/>
    <w:rsid w:val="00E0409B"/>
    <w:rsid w:val="00E0495C"/>
    <w:rsid w:val="00E04F5F"/>
    <w:rsid w:val="00E062F6"/>
    <w:rsid w:val="00E06B75"/>
    <w:rsid w:val="00E076A5"/>
    <w:rsid w:val="00E07B85"/>
    <w:rsid w:val="00E10200"/>
    <w:rsid w:val="00E10A22"/>
    <w:rsid w:val="00E11332"/>
    <w:rsid w:val="00E11352"/>
    <w:rsid w:val="00E11A3B"/>
    <w:rsid w:val="00E121BF"/>
    <w:rsid w:val="00E13163"/>
    <w:rsid w:val="00E131E3"/>
    <w:rsid w:val="00E14075"/>
    <w:rsid w:val="00E170DC"/>
    <w:rsid w:val="00E17546"/>
    <w:rsid w:val="00E1770B"/>
    <w:rsid w:val="00E17A59"/>
    <w:rsid w:val="00E17D0B"/>
    <w:rsid w:val="00E17D29"/>
    <w:rsid w:val="00E20206"/>
    <w:rsid w:val="00E20DFB"/>
    <w:rsid w:val="00E21057"/>
    <w:rsid w:val="00E210B5"/>
    <w:rsid w:val="00E2345B"/>
    <w:rsid w:val="00E26151"/>
    <w:rsid w:val="00E261B3"/>
    <w:rsid w:val="00E264D9"/>
    <w:rsid w:val="00E267A2"/>
    <w:rsid w:val="00E26818"/>
    <w:rsid w:val="00E271F9"/>
    <w:rsid w:val="00E2745F"/>
    <w:rsid w:val="00E27FFC"/>
    <w:rsid w:val="00E30354"/>
    <w:rsid w:val="00E30AE6"/>
    <w:rsid w:val="00E30B15"/>
    <w:rsid w:val="00E318DD"/>
    <w:rsid w:val="00E31EB4"/>
    <w:rsid w:val="00E32B94"/>
    <w:rsid w:val="00E32C29"/>
    <w:rsid w:val="00E32D2B"/>
    <w:rsid w:val="00E33237"/>
    <w:rsid w:val="00E339E2"/>
    <w:rsid w:val="00E37505"/>
    <w:rsid w:val="00E378E4"/>
    <w:rsid w:val="00E37CEB"/>
    <w:rsid w:val="00E40126"/>
    <w:rsid w:val="00E40181"/>
    <w:rsid w:val="00E405BC"/>
    <w:rsid w:val="00E42823"/>
    <w:rsid w:val="00E42AD6"/>
    <w:rsid w:val="00E433B6"/>
    <w:rsid w:val="00E4340D"/>
    <w:rsid w:val="00E43595"/>
    <w:rsid w:val="00E44A17"/>
    <w:rsid w:val="00E45D12"/>
    <w:rsid w:val="00E4688E"/>
    <w:rsid w:val="00E47262"/>
    <w:rsid w:val="00E52134"/>
    <w:rsid w:val="00E52480"/>
    <w:rsid w:val="00E53678"/>
    <w:rsid w:val="00E53F81"/>
    <w:rsid w:val="00E54917"/>
    <w:rsid w:val="00E54950"/>
    <w:rsid w:val="00E54BC7"/>
    <w:rsid w:val="00E55C71"/>
    <w:rsid w:val="00E55FB3"/>
    <w:rsid w:val="00E56385"/>
    <w:rsid w:val="00E56635"/>
    <w:rsid w:val="00E56A01"/>
    <w:rsid w:val="00E629A1"/>
    <w:rsid w:val="00E6341D"/>
    <w:rsid w:val="00E6384F"/>
    <w:rsid w:val="00E6417F"/>
    <w:rsid w:val="00E64221"/>
    <w:rsid w:val="00E647A5"/>
    <w:rsid w:val="00E6541B"/>
    <w:rsid w:val="00E659F2"/>
    <w:rsid w:val="00E65DF8"/>
    <w:rsid w:val="00E6679E"/>
    <w:rsid w:val="00E6794C"/>
    <w:rsid w:val="00E67C7C"/>
    <w:rsid w:val="00E70533"/>
    <w:rsid w:val="00E70B17"/>
    <w:rsid w:val="00E71291"/>
    <w:rsid w:val="00E71591"/>
    <w:rsid w:val="00E71991"/>
    <w:rsid w:val="00E71CEB"/>
    <w:rsid w:val="00E72F87"/>
    <w:rsid w:val="00E7474F"/>
    <w:rsid w:val="00E74969"/>
    <w:rsid w:val="00E8051E"/>
    <w:rsid w:val="00E80A9E"/>
    <w:rsid w:val="00E80DE3"/>
    <w:rsid w:val="00E81092"/>
    <w:rsid w:val="00E816F9"/>
    <w:rsid w:val="00E82BDE"/>
    <w:rsid w:val="00E82C55"/>
    <w:rsid w:val="00E85AED"/>
    <w:rsid w:val="00E8787E"/>
    <w:rsid w:val="00E9042A"/>
    <w:rsid w:val="00E907E9"/>
    <w:rsid w:val="00E90B46"/>
    <w:rsid w:val="00E91771"/>
    <w:rsid w:val="00E91DBD"/>
    <w:rsid w:val="00E92503"/>
    <w:rsid w:val="00E92891"/>
    <w:rsid w:val="00E929A0"/>
    <w:rsid w:val="00E92AC3"/>
    <w:rsid w:val="00E936C0"/>
    <w:rsid w:val="00E959EB"/>
    <w:rsid w:val="00E97EE0"/>
    <w:rsid w:val="00EA02FC"/>
    <w:rsid w:val="00EA1479"/>
    <w:rsid w:val="00EA1818"/>
    <w:rsid w:val="00EA24CB"/>
    <w:rsid w:val="00EA2E73"/>
    <w:rsid w:val="00EA2F6A"/>
    <w:rsid w:val="00EA381D"/>
    <w:rsid w:val="00EA3A2D"/>
    <w:rsid w:val="00EA3D71"/>
    <w:rsid w:val="00EA47BE"/>
    <w:rsid w:val="00EA67E0"/>
    <w:rsid w:val="00EA7112"/>
    <w:rsid w:val="00EA7286"/>
    <w:rsid w:val="00EB00E0"/>
    <w:rsid w:val="00EB04AC"/>
    <w:rsid w:val="00EB05D5"/>
    <w:rsid w:val="00EB06A4"/>
    <w:rsid w:val="00EB0A0E"/>
    <w:rsid w:val="00EB158C"/>
    <w:rsid w:val="00EB181F"/>
    <w:rsid w:val="00EB3427"/>
    <w:rsid w:val="00EB3495"/>
    <w:rsid w:val="00EB416C"/>
    <w:rsid w:val="00EB4BC7"/>
    <w:rsid w:val="00EB55C3"/>
    <w:rsid w:val="00EB56B9"/>
    <w:rsid w:val="00EB5E38"/>
    <w:rsid w:val="00EB6F57"/>
    <w:rsid w:val="00EB78B7"/>
    <w:rsid w:val="00EB7F86"/>
    <w:rsid w:val="00EC008E"/>
    <w:rsid w:val="00EC059F"/>
    <w:rsid w:val="00EC087E"/>
    <w:rsid w:val="00EC0A86"/>
    <w:rsid w:val="00EC1791"/>
    <w:rsid w:val="00EC1F24"/>
    <w:rsid w:val="00EC22F6"/>
    <w:rsid w:val="00EC2449"/>
    <w:rsid w:val="00EC3DB9"/>
    <w:rsid w:val="00EC442F"/>
    <w:rsid w:val="00EC56CF"/>
    <w:rsid w:val="00EC59F6"/>
    <w:rsid w:val="00EC5A74"/>
    <w:rsid w:val="00EC638B"/>
    <w:rsid w:val="00EC647C"/>
    <w:rsid w:val="00EC6FBF"/>
    <w:rsid w:val="00EC7580"/>
    <w:rsid w:val="00EC7985"/>
    <w:rsid w:val="00EC7B0C"/>
    <w:rsid w:val="00ED01D4"/>
    <w:rsid w:val="00ED0F43"/>
    <w:rsid w:val="00ED1A9E"/>
    <w:rsid w:val="00ED2E95"/>
    <w:rsid w:val="00ED32C8"/>
    <w:rsid w:val="00ED3DD5"/>
    <w:rsid w:val="00ED4524"/>
    <w:rsid w:val="00ED5811"/>
    <w:rsid w:val="00ED5B9B"/>
    <w:rsid w:val="00ED64FE"/>
    <w:rsid w:val="00ED6AED"/>
    <w:rsid w:val="00ED6BAD"/>
    <w:rsid w:val="00ED6C74"/>
    <w:rsid w:val="00ED7447"/>
    <w:rsid w:val="00ED7762"/>
    <w:rsid w:val="00EE004F"/>
    <w:rsid w:val="00EE00D6"/>
    <w:rsid w:val="00EE11E7"/>
    <w:rsid w:val="00EE1444"/>
    <w:rsid w:val="00EE1488"/>
    <w:rsid w:val="00EE15E7"/>
    <w:rsid w:val="00EE1CAF"/>
    <w:rsid w:val="00EE1EE0"/>
    <w:rsid w:val="00EE29AD"/>
    <w:rsid w:val="00EE3367"/>
    <w:rsid w:val="00EE3C32"/>
    <w:rsid w:val="00EE3E24"/>
    <w:rsid w:val="00EE42D6"/>
    <w:rsid w:val="00EE4D5D"/>
    <w:rsid w:val="00EE5089"/>
    <w:rsid w:val="00EE5131"/>
    <w:rsid w:val="00EE7D33"/>
    <w:rsid w:val="00EF109B"/>
    <w:rsid w:val="00EF1BB3"/>
    <w:rsid w:val="00EF1C78"/>
    <w:rsid w:val="00EF201C"/>
    <w:rsid w:val="00EF2AEE"/>
    <w:rsid w:val="00EF2C24"/>
    <w:rsid w:val="00EF2C72"/>
    <w:rsid w:val="00EF36AF"/>
    <w:rsid w:val="00EF38C9"/>
    <w:rsid w:val="00EF3B41"/>
    <w:rsid w:val="00EF59A3"/>
    <w:rsid w:val="00EF6675"/>
    <w:rsid w:val="00EF6B26"/>
    <w:rsid w:val="00EF7106"/>
    <w:rsid w:val="00F0063D"/>
    <w:rsid w:val="00F00645"/>
    <w:rsid w:val="00F00E22"/>
    <w:rsid w:val="00F00E83"/>
    <w:rsid w:val="00F00F9C"/>
    <w:rsid w:val="00F018FD"/>
    <w:rsid w:val="00F01E5F"/>
    <w:rsid w:val="00F024F3"/>
    <w:rsid w:val="00F02791"/>
    <w:rsid w:val="00F0289E"/>
    <w:rsid w:val="00F02ABA"/>
    <w:rsid w:val="00F0331C"/>
    <w:rsid w:val="00F03C63"/>
    <w:rsid w:val="00F0437A"/>
    <w:rsid w:val="00F05DE9"/>
    <w:rsid w:val="00F05F9B"/>
    <w:rsid w:val="00F0653F"/>
    <w:rsid w:val="00F069DF"/>
    <w:rsid w:val="00F076B5"/>
    <w:rsid w:val="00F07CC4"/>
    <w:rsid w:val="00F101B8"/>
    <w:rsid w:val="00F1070B"/>
    <w:rsid w:val="00F11037"/>
    <w:rsid w:val="00F1131C"/>
    <w:rsid w:val="00F121BE"/>
    <w:rsid w:val="00F12973"/>
    <w:rsid w:val="00F14132"/>
    <w:rsid w:val="00F146D2"/>
    <w:rsid w:val="00F168A0"/>
    <w:rsid w:val="00F16F1B"/>
    <w:rsid w:val="00F1754B"/>
    <w:rsid w:val="00F1762F"/>
    <w:rsid w:val="00F17E39"/>
    <w:rsid w:val="00F200CD"/>
    <w:rsid w:val="00F20875"/>
    <w:rsid w:val="00F20B08"/>
    <w:rsid w:val="00F225F0"/>
    <w:rsid w:val="00F22656"/>
    <w:rsid w:val="00F22BB3"/>
    <w:rsid w:val="00F250A9"/>
    <w:rsid w:val="00F255F3"/>
    <w:rsid w:val="00F267AF"/>
    <w:rsid w:val="00F26D4B"/>
    <w:rsid w:val="00F27052"/>
    <w:rsid w:val="00F302D5"/>
    <w:rsid w:val="00F30FF4"/>
    <w:rsid w:val="00F3122E"/>
    <w:rsid w:val="00F31848"/>
    <w:rsid w:val="00F32368"/>
    <w:rsid w:val="00F331AD"/>
    <w:rsid w:val="00F3325A"/>
    <w:rsid w:val="00F332E1"/>
    <w:rsid w:val="00F33ECE"/>
    <w:rsid w:val="00F35287"/>
    <w:rsid w:val="00F35470"/>
    <w:rsid w:val="00F356A7"/>
    <w:rsid w:val="00F362E6"/>
    <w:rsid w:val="00F40A70"/>
    <w:rsid w:val="00F4155A"/>
    <w:rsid w:val="00F41774"/>
    <w:rsid w:val="00F42643"/>
    <w:rsid w:val="00F437F0"/>
    <w:rsid w:val="00F43A37"/>
    <w:rsid w:val="00F4472E"/>
    <w:rsid w:val="00F456EB"/>
    <w:rsid w:val="00F462EF"/>
    <w:rsid w:val="00F4641B"/>
    <w:rsid w:val="00F46EB8"/>
    <w:rsid w:val="00F47B42"/>
    <w:rsid w:val="00F50CD1"/>
    <w:rsid w:val="00F511E4"/>
    <w:rsid w:val="00F51242"/>
    <w:rsid w:val="00F51C5F"/>
    <w:rsid w:val="00F529FD"/>
    <w:rsid w:val="00F529FF"/>
    <w:rsid w:val="00F52D09"/>
    <w:rsid w:val="00F52E08"/>
    <w:rsid w:val="00F535F9"/>
    <w:rsid w:val="00F53A66"/>
    <w:rsid w:val="00F5462D"/>
    <w:rsid w:val="00F54B10"/>
    <w:rsid w:val="00F559AC"/>
    <w:rsid w:val="00F55AC0"/>
    <w:rsid w:val="00F55B10"/>
    <w:rsid w:val="00F55B21"/>
    <w:rsid w:val="00F55BC4"/>
    <w:rsid w:val="00F55EF5"/>
    <w:rsid w:val="00F56C38"/>
    <w:rsid w:val="00F56EF6"/>
    <w:rsid w:val="00F577CE"/>
    <w:rsid w:val="00F57E95"/>
    <w:rsid w:val="00F60082"/>
    <w:rsid w:val="00F60577"/>
    <w:rsid w:val="00F613CB"/>
    <w:rsid w:val="00F61A9F"/>
    <w:rsid w:val="00F61B5F"/>
    <w:rsid w:val="00F61B9D"/>
    <w:rsid w:val="00F63BE4"/>
    <w:rsid w:val="00F64696"/>
    <w:rsid w:val="00F646E5"/>
    <w:rsid w:val="00F64720"/>
    <w:rsid w:val="00F64E74"/>
    <w:rsid w:val="00F65398"/>
    <w:rsid w:val="00F65818"/>
    <w:rsid w:val="00F65AA9"/>
    <w:rsid w:val="00F6768F"/>
    <w:rsid w:val="00F67AA7"/>
    <w:rsid w:val="00F709F6"/>
    <w:rsid w:val="00F70DF9"/>
    <w:rsid w:val="00F71094"/>
    <w:rsid w:val="00F723B1"/>
    <w:rsid w:val="00F72C2C"/>
    <w:rsid w:val="00F73409"/>
    <w:rsid w:val="00F741F2"/>
    <w:rsid w:val="00F752D4"/>
    <w:rsid w:val="00F75E13"/>
    <w:rsid w:val="00F7604E"/>
    <w:rsid w:val="00F766B2"/>
    <w:rsid w:val="00F76A04"/>
    <w:rsid w:val="00F76CAB"/>
    <w:rsid w:val="00F76F89"/>
    <w:rsid w:val="00F772C6"/>
    <w:rsid w:val="00F776B0"/>
    <w:rsid w:val="00F77745"/>
    <w:rsid w:val="00F80603"/>
    <w:rsid w:val="00F8061C"/>
    <w:rsid w:val="00F815B5"/>
    <w:rsid w:val="00F82517"/>
    <w:rsid w:val="00F82DFC"/>
    <w:rsid w:val="00F83824"/>
    <w:rsid w:val="00F85005"/>
    <w:rsid w:val="00F85195"/>
    <w:rsid w:val="00F8544E"/>
    <w:rsid w:val="00F85E8E"/>
    <w:rsid w:val="00F868E3"/>
    <w:rsid w:val="00F879BF"/>
    <w:rsid w:val="00F90358"/>
    <w:rsid w:val="00F90A71"/>
    <w:rsid w:val="00F90DF6"/>
    <w:rsid w:val="00F9177B"/>
    <w:rsid w:val="00F91983"/>
    <w:rsid w:val="00F91C1C"/>
    <w:rsid w:val="00F91DFB"/>
    <w:rsid w:val="00F9251F"/>
    <w:rsid w:val="00F925C3"/>
    <w:rsid w:val="00F9387A"/>
    <w:rsid w:val="00F938A1"/>
    <w:rsid w:val="00F938BA"/>
    <w:rsid w:val="00F949B4"/>
    <w:rsid w:val="00F964AF"/>
    <w:rsid w:val="00F977A7"/>
    <w:rsid w:val="00F97919"/>
    <w:rsid w:val="00FA02FA"/>
    <w:rsid w:val="00FA09D2"/>
    <w:rsid w:val="00FA1CAC"/>
    <w:rsid w:val="00FA2813"/>
    <w:rsid w:val="00FA2C46"/>
    <w:rsid w:val="00FA3525"/>
    <w:rsid w:val="00FA368C"/>
    <w:rsid w:val="00FA480E"/>
    <w:rsid w:val="00FA4D4D"/>
    <w:rsid w:val="00FA5A53"/>
    <w:rsid w:val="00FA5D52"/>
    <w:rsid w:val="00FA61C8"/>
    <w:rsid w:val="00FA620B"/>
    <w:rsid w:val="00FA6745"/>
    <w:rsid w:val="00FA6D0F"/>
    <w:rsid w:val="00FA741B"/>
    <w:rsid w:val="00FB12C4"/>
    <w:rsid w:val="00FB152B"/>
    <w:rsid w:val="00FB1F6E"/>
    <w:rsid w:val="00FB2378"/>
    <w:rsid w:val="00FB4092"/>
    <w:rsid w:val="00FB4769"/>
    <w:rsid w:val="00FB4CDA"/>
    <w:rsid w:val="00FB5906"/>
    <w:rsid w:val="00FB5BA0"/>
    <w:rsid w:val="00FB6063"/>
    <w:rsid w:val="00FB6080"/>
    <w:rsid w:val="00FB6481"/>
    <w:rsid w:val="00FB6882"/>
    <w:rsid w:val="00FB6D36"/>
    <w:rsid w:val="00FB7014"/>
    <w:rsid w:val="00FB7CBA"/>
    <w:rsid w:val="00FB7E11"/>
    <w:rsid w:val="00FC0965"/>
    <w:rsid w:val="00FC0F81"/>
    <w:rsid w:val="00FC252F"/>
    <w:rsid w:val="00FC2762"/>
    <w:rsid w:val="00FC395C"/>
    <w:rsid w:val="00FC46E3"/>
    <w:rsid w:val="00FC4BB0"/>
    <w:rsid w:val="00FC586D"/>
    <w:rsid w:val="00FC5956"/>
    <w:rsid w:val="00FC5E8E"/>
    <w:rsid w:val="00FC6662"/>
    <w:rsid w:val="00FC6D4D"/>
    <w:rsid w:val="00FC7A0D"/>
    <w:rsid w:val="00FD02BD"/>
    <w:rsid w:val="00FD10D0"/>
    <w:rsid w:val="00FD22EA"/>
    <w:rsid w:val="00FD2885"/>
    <w:rsid w:val="00FD2EF7"/>
    <w:rsid w:val="00FD300D"/>
    <w:rsid w:val="00FD3642"/>
    <w:rsid w:val="00FD3766"/>
    <w:rsid w:val="00FD3D05"/>
    <w:rsid w:val="00FD47C4"/>
    <w:rsid w:val="00FD499B"/>
    <w:rsid w:val="00FD538B"/>
    <w:rsid w:val="00FD5ED2"/>
    <w:rsid w:val="00FD68AB"/>
    <w:rsid w:val="00FD767E"/>
    <w:rsid w:val="00FE0226"/>
    <w:rsid w:val="00FE048E"/>
    <w:rsid w:val="00FE098A"/>
    <w:rsid w:val="00FE0E77"/>
    <w:rsid w:val="00FE1C99"/>
    <w:rsid w:val="00FE21BF"/>
    <w:rsid w:val="00FE24CC"/>
    <w:rsid w:val="00FE2520"/>
    <w:rsid w:val="00FE2DCF"/>
    <w:rsid w:val="00FE2EF1"/>
    <w:rsid w:val="00FE3818"/>
    <w:rsid w:val="00FE3D97"/>
    <w:rsid w:val="00FE3FA7"/>
    <w:rsid w:val="00FE4081"/>
    <w:rsid w:val="00FE44F7"/>
    <w:rsid w:val="00FE4A08"/>
    <w:rsid w:val="00FE597F"/>
    <w:rsid w:val="00FE5A2A"/>
    <w:rsid w:val="00FE6DC0"/>
    <w:rsid w:val="00FF0CB6"/>
    <w:rsid w:val="00FF2768"/>
    <w:rsid w:val="00FF2A4E"/>
    <w:rsid w:val="00FF2A68"/>
    <w:rsid w:val="00FF2FCE"/>
    <w:rsid w:val="00FF3FD2"/>
    <w:rsid w:val="00FF4F7D"/>
    <w:rsid w:val="00FF5950"/>
    <w:rsid w:val="00FF6351"/>
    <w:rsid w:val="00FF6C18"/>
    <w:rsid w:val="00FF6D9D"/>
    <w:rsid w:val="00FF6E2C"/>
    <w:rsid w:val="00FF7620"/>
    <w:rsid w:val="00FF776E"/>
    <w:rsid w:val="00FF7DD5"/>
    <w:rsid w:val="02DBCF3D"/>
    <w:rsid w:val="07E28F89"/>
    <w:rsid w:val="0AC4DFEC"/>
    <w:rsid w:val="0C23FC61"/>
    <w:rsid w:val="0D66CF0B"/>
    <w:rsid w:val="0DB7ECA7"/>
    <w:rsid w:val="10060737"/>
    <w:rsid w:val="1061078A"/>
    <w:rsid w:val="1705D5F6"/>
    <w:rsid w:val="174343C2"/>
    <w:rsid w:val="1FC07146"/>
    <w:rsid w:val="23BBA8E1"/>
    <w:rsid w:val="25CAD048"/>
    <w:rsid w:val="2758BF0A"/>
    <w:rsid w:val="2F18AAA4"/>
    <w:rsid w:val="2FAD2792"/>
    <w:rsid w:val="2FF102D2"/>
    <w:rsid w:val="336EB41D"/>
    <w:rsid w:val="33EBB5E1"/>
    <w:rsid w:val="347E9ED6"/>
    <w:rsid w:val="37E933F8"/>
    <w:rsid w:val="392B96B3"/>
    <w:rsid w:val="3DE17F6B"/>
    <w:rsid w:val="42756AD5"/>
    <w:rsid w:val="447FD6CF"/>
    <w:rsid w:val="4552323C"/>
    <w:rsid w:val="489A44D3"/>
    <w:rsid w:val="5247DAEF"/>
    <w:rsid w:val="568F32AB"/>
    <w:rsid w:val="56CC0019"/>
    <w:rsid w:val="576A930E"/>
    <w:rsid w:val="5CA733FD"/>
    <w:rsid w:val="6521A00D"/>
    <w:rsid w:val="6792172D"/>
    <w:rsid w:val="69AB0527"/>
    <w:rsid w:val="69FE2224"/>
    <w:rsid w:val="6C3893DF"/>
    <w:rsid w:val="6D2B6036"/>
    <w:rsid w:val="6F899DAE"/>
    <w:rsid w:val="70D9F83A"/>
    <w:rsid w:val="715F8FE0"/>
    <w:rsid w:val="72990A22"/>
    <w:rsid w:val="754B8C1C"/>
    <w:rsid w:val="7903A1CD"/>
    <w:rsid w:val="794C1115"/>
    <w:rsid w:val="79BB0124"/>
    <w:rsid w:val="7A9AB152"/>
    <w:rsid w:val="7E92AE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C2B6B"/>
  <w15:docId w15:val="{AD5A54CD-2163-44AD-BB58-670011A8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2205"/>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5"/>
    <w:qFormat/>
    <w:rsid w:val="00EE5089"/>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next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A1739E"/>
    <w:pPr>
      <w:spacing w:before="80" w:after="60"/>
    </w:pPr>
    <w:rPr>
      <w:rFonts w:ascii="Arial" w:hAnsi="Arial"/>
      <w:b/>
      <w:color w:val="333333"/>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4A0C16"/>
    <w:pPr>
      <w:pBdr>
        <w:left w:val="single" w:sz="24" w:space="4" w:color="004EA8"/>
      </w:pBd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NormalWeb">
    <w:name w:val="Normal (Web)"/>
    <w:basedOn w:val="Normal"/>
    <w:uiPriority w:val="99"/>
    <w:semiHidden/>
    <w:unhideWhenUsed/>
    <w:rsid w:val="00105CBE"/>
    <w:rPr>
      <w:rFonts w:ascii="Times New Roman" w:hAnsi="Times New Roman"/>
      <w:sz w:val="24"/>
      <w:szCs w:val="24"/>
    </w:rPr>
  </w:style>
  <w:style w:type="paragraph" w:styleId="ListParagraph">
    <w:name w:val="List Paragraph"/>
    <w:basedOn w:val="Normal"/>
    <w:uiPriority w:val="34"/>
    <w:qFormat/>
    <w:rsid w:val="00617574"/>
    <w:pPr>
      <w:spacing w:after="0" w:line="240" w:lineRule="auto"/>
      <w:ind w:left="720"/>
      <w:contextualSpacing/>
    </w:pPr>
    <w:rPr>
      <w:rFonts w:ascii="Times New Roman" w:hAnsi="Times New Roman"/>
      <w:sz w:val="24"/>
      <w:szCs w:val="24"/>
      <w:lang w:eastAsia="en-AU"/>
    </w:rPr>
  </w:style>
  <w:style w:type="paragraph" w:customStyle="1" w:styleId="Heading2notinTOC">
    <w:name w:val="Heading 2 not in TOC"/>
    <w:basedOn w:val="Heading2"/>
    <w:next w:val="Body"/>
    <w:uiPriority w:val="11"/>
    <w:rsid w:val="00DE0B3A"/>
  </w:style>
  <w:style w:type="paragraph" w:customStyle="1" w:styleId="Tabletextafterbullets">
    <w:name w:val="Table text after bullets"/>
    <w:basedOn w:val="Tabletext"/>
    <w:next w:val="Tabletext"/>
    <w:uiPriority w:val="11"/>
    <w:rsid w:val="00F255F3"/>
    <w:pPr>
      <w:spacing w:before="120"/>
    </w:pPr>
    <w:rPr>
      <w:bCs/>
    </w:rPr>
  </w:style>
  <w:style w:type="character" w:styleId="PlaceholderText">
    <w:name w:val="Placeholder Text"/>
    <w:basedOn w:val="DefaultParagraphFont"/>
    <w:uiPriority w:val="99"/>
    <w:unhideWhenUsed/>
    <w:rsid w:val="00010496"/>
    <w:rPr>
      <w:color w:val="808080"/>
    </w:rPr>
  </w:style>
  <w:style w:type="paragraph" w:styleId="ListBullet">
    <w:name w:val="List Bullet"/>
    <w:basedOn w:val="Normal"/>
    <w:uiPriority w:val="99"/>
    <w:unhideWhenUsed/>
    <w:rsid w:val="004743C3"/>
    <w:pPr>
      <w:numPr>
        <w:numId w:val="29"/>
      </w:numPr>
      <w:spacing w:before="100" w:after="100" w:line="260" w:lineRule="atLeast"/>
      <w:contextualSpacing/>
    </w:pPr>
    <w:rPr>
      <w:rFonts w:ascii="Calibri" w:hAnsi="Calibri" w:cs="Calibri"/>
      <w:sz w:val="22"/>
      <w:szCs w:val="22"/>
      <w:lang w:eastAsia="en-AU"/>
    </w:rPr>
  </w:style>
  <w:style w:type="character" w:styleId="Mention">
    <w:name w:val="Mention"/>
    <w:basedOn w:val="DefaultParagraphFont"/>
    <w:uiPriority w:val="99"/>
    <w:unhideWhenUsed/>
    <w:rsid w:val="00AE42E1"/>
    <w:rPr>
      <w:color w:val="2B579A"/>
      <w:shd w:val="clear" w:color="auto" w:fill="E1DFDD"/>
    </w:rPr>
  </w:style>
  <w:style w:type="paragraph" w:styleId="Caption">
    <w:name w:val="caption"/>
    <w:basedOn w:val="Normal"/>
    <w:next w:val="Normal"/>
    <w:uiPriority w:val="35"/>
    <w:unhideWhenUsed/>
    <w:qFormat/>
    <w:rsid w:val="00B4134B"/>
    <w:pPr>
      <w:spacing w:after="200" w:line="240" w:lineRule="auto"/>
    </w:pPr>
    <w:rPr>
      <w:i/>
      <w:iCs/>
      <w:color w:val="1F497D" w:themeColor="text2"/>
      <w:sz w:val="18"/>
      <w:szCs w:val="18"/>
    </w:rPr>
  </w:style>
  <w:style w:type="numbering" w:customStyle="1" w:styleId="CurrentList1">
    <w:name w:val="Current List1"/>
    <w:uiPriority w:val="99"/>
    <w:rsid w:val="00C1701B"/>
    <w:pPr>
      <w:numPr>
        <w:numId w:val="90"/>
      </w:numPr>
    </w:pPr>
  </w:style>
  <w:style w:type="table" w:customStyle="1" w:styleId="Bluetable">
    <w:name w:val="Blue table"/>
    <w:basedOn w:val="TableNormal"/>
    <w:next w:val="TableGrid"/>
    <w:uiPriority w:val="39"/>
    <w:rsid w:val="00EE5089"/>
    <w:rPr>
      <w:rFonts w:ascii="Arial" w:eastAsia="Segoe UI" w:hAnsi="Arial"/>
      <w:sz w:val="22"/>
      <w:szCs w:val="22"/>
      <w:lang w:val="en-US" w:eastAsia="en-US"/>
    </w:rPr>
    <w:tblPr>
      <w:tblStyleRowBandSize w:val="1"/>
      <w:tblInd w:w="0" w:type="nil"/>
      <w:tblBorders>
        <w:top w:val="single" w:sz="24" w:space="0" w:color="004EA8"/>
        <w:bottom w:val="single" w:sz="18" w:space="0" w:color="004EA8"/>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004EA8"/>
          <w:left w:val="nil"/>
          <w:bottom w:val="nil"/>
          <w:right w:val="nil"/>
          <w:insideH w:val="nil"/>
          <w:insideV w:val="nil"/>
          <w:tl2br w:val="nil"/>
          <w:tr2bl w:val="nil"/>
        </w:tcBorders>
        <w:shd w:val="clear" w:color="auto" w:fill="E6E6E1"/>
      </w:tcPr>
    </w:tblStylePr>
    <w:tblStylePr w:type="lastRow">
      <w:rPr>
        <w:b/>
        <w:sz w:val="22"/>
      </w:rPr>
      <w:tblPr/>
      <w:tcPr>
        <w:tcBorders>
          <w:top w:val="single" w:sz="4" w:space="0" w:color="004EA8"/>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Purpletable">
    <w:name w:val="Purple table"/>
    <w:basedOn w:val="TableNormal"/>
    <w:next w:val="TableGrid"/>
    <w:uiPriority w:val="39"/>
    <w:rsid w:val="001D7BDF"/>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262">
      <w:bodyDiv w:val="1"/>
      <w:marLeft w:val="0"/>
      <w:marRight w:val="0"/>
      <w:marTop w:val="0"/>
      <w:marBottom w:val="0"/>
      <w:divBdr>
        <w:top w:val="none" w:sz="0" w:space="0" w:color="auto"/>
        <w:left w:val="none" w:sz="0" w:space="0" w:color="auto"/>
        <w:bottom w:val="none" w:sz="0" w:space="0" w:color="auto"/>
        <w:right w:val="none" w:sz="0" w:space="0" w:color="auto"/>
      </w:divBdr>
      <w:divsChild>
        <w:div w:id="463423314">
          <w:marLeft w:val="274"/>
          <w:marRight w:val="0"/>
          <w:marTop w:val="0"/>
          <w:marBottom w:val="0"/>
          <w:divBdr>
            <w:top w:val="none" w:sz="0" w:space="0" w:color="auto"/>
            <w:left w:val="none" w:sz="0" w:space="0" w:color="auto"/>
            <w:bottom w:val="none" w:sz="0" w:space="0" w:color="auto"/>
            <w:right w:val="none" w:sz="0" w:space="0" w:color="auto"/>
          </w:divBdr>
        </w:div>
        <w:div w:id="484930716">
          <w:marLeft w:val="274"/>
          <w:marRight w:val="0"/>
          <w:marTop w:val="0"/>
          <w:marBottom w:val="0"/>
          <w:divBdr>
            <w:top w:val="none" w:sz="0" w:space="0" w:color="auto"/>
            <w:left w:val="none" w:sz="0" w:space="0" w:color="auto"/>
            <w:bottom w:val="none" w:sz="0" w:space="0" w:color="auto"/>
            <w:right w:val="none" w:sz="0" w:space="0" w:color="auto"/>
          </w:divBdr>
        </w:div>
        <w:div w:id="600262635">
          <w:marLeft w:val="274"/>
          <w:marRight w:val="0"/>
          <w:marTop w:val="0"/>
          <w:marBottom w:val="0"/>
          <w:divBdr>
            <w:top w:val="none" w:sz="0" w:space="0" w:color="auto"/>
            <w:left w:val="none" w:sz="0" w:space="0" w:color="auto"/>
            <w:bottom w:val="none" w:sz="0" w:space="0" w:color="auto"/>
            <w:right w:val="none" w:sz="0" w:space="0" w:color="auto"/>
          </w:divBdr>
        </w:div>
        <w:div w:id="799420916">
          <w:marLeft w:val="274"/>
          <w:marRight w:val="0"/>
          <w:marTop w:val="0"/>
          <w:marBottom w:val="0"/>
          <w:divBdr>
            <w:top w:val="none" w:sz="0" w:space="0" w:color="auto"/>
            <w:left w:val="none" w:sz="0" w:space="0" w:color="auto"/>
            <w:bottom w:val="none" w:sz="0" w:space="0" w:color="auto"/>
            <w:right w:val="none" w:sz="0" w:space="0" w:color="auto"/>
          </w:divBdr>
        </w:div>
        <w:div w:id="981234511">
          <w:marLeft w:val="274"/>
          <w:marRight w:val="0"/>
          <w:marTop w:val="0"/>
          <w:marBottom w:val="0"/>
          <w:divBdr>
            <w:top w:val="none" w:sz="0" w:space="0" w:color="auto"/>
            <w:left w:val="none" w:sz="0" w:space="0" w:color="auto"/>
            <w:bottom w:val="none" w:sz="0" w:space="0" w:color="auto"/>
            <w:right w:val="none" w:sz="0" w:space="0" w:color="auto"/>
          </w:divBdr>
        </w:div>
        <w:div w:id="1812821421">
          <w:marLeft w:val="274"/>
          <w:marRight w:val="0"/>
          <w:marTop w:val="0"/>
          <w:marBottom w:val="0"/>
          <w:divBdr>
            <w:top w:val="none" w:sz="0" w:space="0" w:color="auto"/>
            <w:left w:val="none" w:sz="0" w:space="0" w:color="auto"/>
            <w:bottom w:val="none" w:sz="0" w:space="0" w:color="auto"/>
            <w:right w:val="none" w:sz="0" w:space="0" w:color="auto"/>
          </w:divBdr>
        </w:div>
        <w:div w:id="1839424573">
          <w:marLeft w:val="274"/>
          <w:marRight w:val="0"/>
          <w:marTop w:val="0"/>
          <w:marBottom w:val="0"/>
          <w:divBdr>
            <w:top w:val="none" w:sz="0" w:space="0" w:color="auto"/>
            <w:left w:val="none" w:sz="0" w:space="0" w:color="auto"/>
            <w:bottom w:val="none" w:sz="0" w:space="0" w:color="auto"/>
            <w:right w:val="none" w:sz="0" w:space="0" w:color="auto"/>
          </w:divBdr>
        </w:div>
      </w:divsChild>
    </w:div>
    <w:div w:id="20790946">
      <w:bodyDiv w:val="1"/>
      <w:marLeft w:val="0"/>
      <w:marRight w:val="0"/>
      <w:marTop w:val="0"/>
      <w:marBottom w:val="0"/>
      <w:divBdr>
        <w:top w:val="none" w:sz="0" w:space="0" w:color="auto"/>
        <w:left w:val="none" w:sz="0" w:space="0" w:color="auto"/>
        <w:bottom w:val="none" w:sz="0" w:space="0" w:color="auto"/>
        <w:right w:val="none" w:sz="0" w:space="0" w:color="auto"/>
      </w:divBdr>
      <w:divsChild>
        <w:div w:id="576550900">
          <w:marLeft w:val="274"/>
          <w:marRight w:val="0"/>
          <w:marTop w:val="0"/>
          <w:marBottom w:val="0"/>
          <w:divBdr>
            <w:top w:val="none" w:sz="0" w:space="0" w:color="auto"/>
            <w:left w:val="none" w:sz="0" w:space="0" w:color="auto"/>
            <w:bottom w:val="none" w:sz="0" w:space="0" w:color="auto"/>
            <w:right w:val="none" w:sz="0" w:space="0" w:color="auto"/>
          </w:divBdr>
        </w:div>
        <w:div w:id="783353159">
          <w:marLeft w:val="274"/>
          <w:marRight w:val="0"/>
          <w:marTop w:val="0"/>
          <w:marBottom w:val="0"/>
          <w:divBdr>
            <w:top w:val="none" w:sz="0" w:space="0" w:color="auto"/>
            <w:left w:val="none" w:sz="0" w:space="0" w:color="auto"/>
            <w:bottom w:val="none" w:sz="0" w:space="0" w:color="auto"/>
            <w:right w:val="none" w:sz="0" w:space="0" w:color="auto"/>
          </w:divBdr>
        </w:div>
      </w:divsChild>
    </w:div>
    <w:div w:id="32119955">
      <w:bodyDiv w:val="1"/>
      <w:marLeft w:val="0"/>
      <w:marRight w:val="0"/>
      <w:marTop w:val="0"/>
      <w:marBottom w:val="0"/>
      <w:divBdr>
        <w:top w:val="none" w:sz="0" w:space="0" w:color="auto"/>
        <w:left w:val="none" w:sz="0" w:space="0" w:color="auto"/>
        <w:bottom w:val="none" w:sz="0" w:space="0" w:color="auto"/>
        <w:right w:val="none" w:sz="0" w:space="0" w:color="auto"/>
      </w:divBdr>
    </w:div>
    <w:div w:id="64301425">
      <w:bodyDiv w:val="1"/>
      <w:marLeft w:val="0"/>
      <w:marRight w:val="0"/>
      <w:marTop w:val="0"/>
      <w:marBottom w:val="0"/>
      <w:divBdr>
        <w:top w:val="none" w:sz="0" w:space="0" w:color="auto"/>
        <w:left w:val="none" w:sz="0" w:space="0" w:color="auto"/>
        <w:bottom w:val="none" w:sz="0" w:space="0" w:color="auto"/>
        <w:right w:val="none" w:sz="0" w:space="0" w:color="auto"/>
      </w:divBdr>
    </w:div>
    <w:div w:id="76828652">
      <w:bodyDiv w:val="1"/>
      <w:marLeft w:val="0"/>
      <w:marRight w:val="0"/>
      <w:marTop w:val="0"/>
      <w:marBottom w:val="0"/>
      <w:divBdr>
        <w:top w:val="none" w:sz="0" w:space="0" w:color="auto"/>
        <w:left w:val="none" w:sz="0" w:space="0" w:color="auto"/>
        <w:bottom w:val="none" w:sz="0" w:space="0" w:color="auto"/>
        <w:right w:val="none" w:sz="0" w:space="0" w:color="auto"/>
      </w:divBdr>
    </w:div>
    <w:div w:id="90662512">
      <w:bodyDiv w:val="1"/>
      <w:marLeft w:val="0"/>
      <w:marRight w:val="0"/>
      <w:marTop w:val="0"/>
      <w:marBottom w:val="0"/>
      <w:divBdr>
        <w:top w:val="none" w:sz="0" w:space="0" w:color="auto"/>
        <w:left w:val="none" w:sz="0" w:space="0" w:color="auto"/>
        <w:bottom w:val="none" w:sz="0" w:space="0" w:color="auto"/>
        <w:right w:val="none" w:sz="0" w:space="0" w:color="auto"/>
      </w:divBdr>
      <w:divsChild>
        <w:div w:id="1289046251">
          <w:marLeft w:val="1109"/>
          <w:marRight w:val="0"/>
          <w:marTop w:val="106"/>
          <w:marBottom w:val="0"/>
          <w:divBdr>
            <w:top w:val="none" w:sz="0" w:space="0" w:color="auto"/>
            <w:left w:val="none" w:sz="0" w:space="0" w:color="auto"/>
            <w:bottom w:val="none" w:sz="0" w:space="0" w:color="auto"/>
            <w:right w:val="none" w:sz="0" w:space="0" w:color="auto"/>
          </w:divBdr>
        </w:div>
        <w:div w:id="1446119665">
          <w:marLeft w:val="1109"/>
          <w:marRight w:val="0"/>
          <w:marTop w:val="106"/>
          <w:marBottom w:val="0"/>
          <w:divBdr>
            <w:top w:val="none" w:sz="0" w:space="0" w:color="auto"/>
            <w:left w:val="none" w:sz="0" w:space="0" w:color="auto"/>
            <w:bottom w:val="none" w:sz="0" w:space="0" w:color="auto"/>
            <w:right w:val="none" w:sz="0" w:space="0" w:color="auto"/>
          </w:divBdr>
        </w:div>
        <w:div w:id="1475872621">
          <w:marLeft w:val="1109"/>
          <w:marRight w:val="0"/>
          <w:marTop w:val="106"/>
          <w:marBottom w:val="0"/>
          <w:divBdr>
            <w:top w:val="none" w:sz="0" w:space="0" w:color="auto"/>
            <w:left w:val="none" w:sz="0" w:space="0" w:color="auto"/>
            <w:bottom w:val="none" w:sz="0" w:space="0" w:color="auto"/>
            <w:right w:val="none" w:sz="0" w:space="0" w:color="auto"/>
          </w:divBdr>
        </w:div>
        <w:div w:id="1558933125">
          <w:marLeft w:val="1109"/>
          <w:marRight w:val="0"/>
          <w:marTop w:val="106"/>
          <w:marBottom w:val="0"/>
          <w:divBdr>
            <w:top w:val="none" w:sz="0" w:space="0" w:color="auto"/>
            <w:left w:val="none" w:sz="0" w:space="0" w:color="auto"/>
            <w:bottom w:val="none" w:sz="0" w:space="0" w:color="auto"/>
            <w:right w:val="none" w:sz="0" w:space="0" w:color="auto"/>
          </w:divBdr>
        </w:div>
        <w:div w:id="1714573395">
          <w:marLeft w:val="1109"/>
          <w:marRight w:val="0"/>
          <w:marTop w:val="106"/>
          <w:marBottom w:val="0"/>
          <w:divBdr>
            <w:top w:val="none" w:sz="0" w:space="0" w:color="auto"/>
            <w:left w:val="none" w:sz="0" w:space="0" w:color="auto"/>
            <w:bottom w:val="none" w:sz="0" w:space="0" w:color="auto"/>
            <w:right w:val="none" w:sz="0" w:space="0" w:color="auto"/>
          </w:divBdr>
        </w:div>
        <w:div w:id="1876113864">
          <w:marLeft w:val="1109"/>
          <w:marRight w:val="0"/>
          <w:marTop w:val="106"/>
          <w:marBottom w:val="0"/>
          <w:divBdr>
            <w:top w:val="none" w:sz="0" w:space="0" w:color="auto"/>
            <w:left w:val="none" w:sz="0" w:space="0" w:color="auto"/>
            <w:bottom w:val="none" w:sz="0" w:space="0" w:color="auto"/>
            <w:right w:val="none" w:sz="0" w:space="0" w:color="auto"/>
          </w:divBdr>
        </w:div>
      </w:divsChild>
    </w:div>
    <w:div w:id="117839531">
      <w:bodyDiv w:val="1"/>
      <w:marLeft w:val="0"/>
      <w:marRight w:val="0"/>
      <w:marTop w:val="0"/>
      <w:marBottom w:val="0"/>
      <w:divBdr>
        <w:top w:val="none" w:sz="0" w:space="0" w:color="auto"/>
        <w:left w:val="none" w:sz="0" w:space="0" w:color="auto"/>
        <w:bottom w:val="none" w:sz="0" w:space="0" w:color="auto"/>
        <w:right w:val="none" w:sz="0" w:space="0" w:color="auto"/>
      </w:divBdr>
    </w:div>
    <w:div w:id="124584049">
      <w:bodyDiv w:val="1"/>
      <w:marLeft w:val="0"/>
      <w:marRight w:val="0"/>
      <w:marTop w:val="0"/>
      <w:marBottom w:val="0"/>
      <w:divBdr>
        <w:top w:val="none" w:sz="0" w:space="0" w:color="auto"/>
        <w:left w:val="none" w:sz="0" w:space="0" w:color="auto"/>
        <w:bottom w:val="none" w:sz="0" w:space="0" w:color="auto"/>
        <w:right w:val="none" w:sz="0" w:space="0" w:color="auto"/>
      </w:divBdr>
    </w:div>
    <w:div w:id="13410979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132368">
      <w:bodyDiv w:val="1"/>
      <w:marLeft w:val="0"/>
      <w:marRight w:val="0"/>
      <w:marTop w:val="0"/>
      <w:marBottom w:val="0"/>
      <w:divBdr>
        <w:top w:val="none" w:sz="0" w:space="0" w:color="auto"/>
        <w:left w:val="none" w:sz="0" w:space="0" w:color="auto"/>
        <w:bottom w:val="none" w:sz="0" w:space="0" w:color="auto"/>
        <w:right w:val="none" w:sz="0" w:space="0" w:color="auto"/>
      </w:divBdr>
    </w:div>
    <w:div w:id="152532965">
      <w:bodyDiv w:val="1"/>
      <w:marLeft w:val="0"/>
      <w:marRight w:val="0"/>
      <w:marTop w:val="0"/>
      <w:marBottom w:val="0"/>
      <w:divBdr>
        <w:top w:val="none" w:sz="0" w:space="0" w:color="auto"/>
        <w:left w:val="none" w:sz="0" w:space="0" w:color="auto"/>
        <w:bottom w:val="none" w:sz="0" w:space="0" w:color="auto"/>
        <w:right w:val="none" w:sz="0" w:space="0" w:color="auto"/>
      </w:divBdr>
      <w:divsChild>
        <w:div w:id="1227716833">
          <w:marLeft w:val="446"/>
          <w:marRight w:val="0"/>
          <w:marTop w:val="86"/>
          <w:marBottom w:val="0"/>
          <w:divBdr>
            <w:top w:val="none" w:sz="0" w:space="0" w:color="auto"/>
            <w:left w:val="none" w:sz="0" w:space="0" w:color="auto"/>
            <w:bottom w:val="none" w:sz="0" w:space="0" w:color="auto"/>
            <w:right w:val="none" w:sz="0" w:space="0" w:color="auto"/>
          </w:divBdr>
        </w:div>
      </w:divsChild>
    </w:div>
    <w:div w:id="156457062">
      <w:bodyDiv w:val="1"/>
      <w:marLeft w:val="0"/>
      <w:marRight w:val="0"/>
      <w:marTop w:val="0"/>
      <w:marBottom w:val="0"/>
      <w:divBdr>
        <w:top w:val="none" w:sz="0" w:space="0" w:color="auto"/>
        <w:left w:val="none" w:sz="0" w:space="0" w:color="auto"/>
        <w:bottom w:val="none" w:sz="0" w:space="0" w:color="auto"/>
        <w:right w:val="none" w:sz="0" w:space="0" w:color="auto"/>
      </w:divBdr>
      <w:divsChild>
        <w:div w:id="1642691823">
          <w:marLeft w:val="1109"/>
          <w:marRight w:val="0"/>
          <w:marTop w:val="106"/>
          <w:marBottom w:val="0"/>
          <w:divBdr>
            <w:top w:val="none" w:sz="0" w:space="0" w:color="auto"/>
            <w:left w:val="none" w:sz="0" w:space="0" w:color="auto"/>
            <w:bottom w:val="none" w:sz="0" w:space="0" w:color="auto"/>
            <w:right w:val="none" w:sz="0" w:space="0" w:color="auto"/>
          </w:divBdr>
        </w:div>
      </w:divsChild>
    </w:div>
    <w:div w:id="157422858">
      <w:bodyDiv w:val="1"/>
      <w:marLeft w:val="0"/>
      <w:marRight w:val="0"/>
      <w:marTop w:val="0"/>
      <w:marBottom w:val="0"/>
      <w:divBdr>
        <w:top w:val="none" w:sz="0" w:space="0" w:color="auto"/>
        <w:left w:val="none" w:sz="0" w:space="0" w:color="auto"/>
        <w:bottom w:val="none" w:sz="0" w:space="0" w:color="auto"/>
        <w:right w:val="none" w:sz="0" w:space="0" w:color="auto"/>
      </w:divBdr>
    </w:div>
    <w:div w:id="166789442">
      <w:bodyDiv w:val="1"/>
      <w:marLeft w:val="0"/>
      <w:marRight w:val="0"/>
      <w:marTop w:val="0"/>
      <w:marBottom w:val="0"/>
      <w:divBdr>
        <w:top w:val="none" w:sz="0" w:space="0" w:color="auto"/>
        <w:left w:val="none" w:sz="0" w:space="0" w:color="auto"/>
        <w:bottom w:val="none" w:sz="0" w:space="0" w:color="auto"/>
        <w:right w:val="none" w:sz="0" w:space="0" w:color="auto"/>
      </w:divBdr>
    </w:div>
    <w:div w:id="173039864">
      <w:bodyDiv w:val="1"/>
      <w:marLeft w:val="0"/>
      <w:marRight w:val="0"/>
      <w:marTop w:val="0"/>
      <w:marBottom w:val="0"/>
      <w:divBdr>
        <w:top w:val="none" w:sz="0" w:space="0" w:color="auto"/>
        <w:left w:val="none" w:sz="0" w:space="0" w:color="auto"/>
        <w:bottom w:val="none" w:sz="0" w:space="0" w:color="auto"/>
        <w:right w:val="none" w:sz="0" w:space="0" w:color="auto"/>
      </w:divBdr>
    </w:div>
    <w:div w:id="178279032">
      <w:bodyDiv w:val="1"/>
      <w:marLeft w:val="0"/>
      <w:marRight w:val="0"/>
      <w:marTop w:val="0"/>
      <w:marBottom w:val="0"/>
      <w:divBdr>
        <w:top w:val="none" w:sz="0" w:space="0" w:color="auto"/>
        <w:left w:val="none" w:sz="0" w:space="0" w:color="auto"/>
        <w:bottom w:val="none" w:sz="0" w:space="0" w:color="auto"/>
        <w:right w:val="none" w:sz="0" w:space="0" w:color="auto"/>
      </w:divBdr>
    </w:div>
    <w:div w:id="180166797">
      <w:bodyDiv w:val="1"/>
      <w:marLeft w:val="0"/>
      <w:marRight w:val="0"/>
      <w:marTop w:val="0"/>
      <w:marBottom w:val="0"/>
      <w:divBdr>
        <w:top w:val="none" w:sz="0" w:space="0" w:color="auto"/>
        <w:left w:val="none" w:sz="0" w:space="0" w:color="auto"/>
        <w:bottom w:val="none" w:sz="0" w:space="0" w:color="auto"/>
        <w:right w:val="none" w:sz="0" w:space="0" w:color="auto"/>
      </w:divBdr>
    </w:div>
    <w:div w:id="198010622">
      <w:bodyDiv w:val="1"/>
      <w:marLeft w:val="0"/>
      <w:marRight w:val="0"/>
      <w:marTop w:val="0"/>
      <w:marBottom w:val="0"/>
      <w:divBdr>
        <w:top w:val="none" w:sz="0" w:space="0" w:color="auto"/>
        <w:left w:val="none" w:sz="0" w:space="0" w:color="auto"/>
        <w:bottom w:val="none" w:sz="0" w:space="0" w:color="auto"/>
        <w:right w:val="none" w:sz="0" w:space="0" w:color="auto"/>
      </w:divBdr>
    </w:div>
    <w:div w:id="199905809">
      <w:bodyDiv w:val="1"/>
      <w:marLeft w:val="0"/>
      <w:marRight w:val="0"/>
      <w:marTop w:val="0"/>
      <w:marBottom w:val="0"/>
      <w:divBdr>
        <w:top w:val="none" w:sz="0" w:space="0" w:color="auto"/>
        <w:left w:val="none" w:sz="0" w:space="0" w:color="auto"/>
        <w:bottom w:val="none" w:sz="0" w:space="0" w:color="auto"/>
        <w:right w:val="none" w:sz="0" w:space="0" w:color="auto"/>
      </w:divBdr>
    </w:div>
    <w:div w:id="200899833">
      <w:bodyDiv w:val="1"/>
      <w:marLeft w:val="0"/>
      <w:marRight w:val="0"/>
      <w:marTop w:val="0"/>
      <w:marBottom w:val="0"/>
      <w:divBdr>
        <w:top w:val="none" w:sz="0" w:space="0" w:color="auto"/>
        <w:left w:val="none" w:sz="0" w:space="0" w:color="auto"/>
        <w:bottom w:val="none" w:sz="0" w:space="0" w:color="auto"/>
        <w:right w:val="none" w:sz="0" w:space="0" w:color="auto"/>
      </w:divBdr>
      <w:divsChild>
        <w:div w:id="178784501">
          <w:marLeft w:val="446"/>
          <w:marRight w:val="0"/>
          <w:marTop w:val="0"/>
          <w:marBottom w:val="0"/>
          <w:divBdr>
            <w:top w:val="none" w:sz="0" w:space="0" w:color="auto"/>
            <w:left w:val="none" w:sz="0" w:space="0" w:color="auto"/>
            <w:bottom w:val="none" w:sz="0" w:space="0" w:color="auto"/>
            <w:right w:val="none" w:sz="0" w:space="0" w:color="auto"/>
          </w:divBdr>
        </w:div>
        <w:div w:id="704137088">
          <w:marLeft w:val="446"/>
          <w:marRight w:val="0"/>
          <w:marTop w:val="0"/>
          <w:marBottom w:val="0"/>
          <w:divBdr>
            <w:top w:val="none" w:sz="0" w:space="0" w:color="auto"/>
            <w:left w:val="none" w:sz="0" w:space="0" w:color="auto"/>
            <w:bottom w:val="none" w:sz="0" w:space="0" w:color="auto"/>
            <w:right w:val="none" w:sz="0" w:space="0" w:color="auto"/>
          </w:divBdr>
        </w:div>
        <w:div w:id="1384910489">
          <w:marLeft w:val="446"/>
          <w:marRight w:val="0"/>
          <w:marTop w:val="0"/>
          <w:marBottom w:val="0"/>
          <w:divBdr>
            <w:top w:val="none" w:sz="0" w:space="0" w:color="auto"/>
            <w:left w:val="none" w:sz="0" w:space="0" w:color="auto"/>
            <w:bottom w:val="none" w:sz="0" w:space="0" w:color="auto"/>
            <w:right w:val="none" w:sz="0" w:space="0" w:color="auto"/>
          </w:divBdr>
        </w:div>
        <w:div w:id="1780682871">
          <w:marLeft w:val="446"/>
          <w:marRight w:val="0"/>
          <w:marTop w:val="0"/>
          <w:marBottom w:val="0"/>
          <w:divBdr>
            <w:top w:val="none" w:sz="0" w:space="0" w:color="auto"/>
            <w:left w:val="none" w:sz="0" w:space="0" w:color="auto"/>
            <w:bottom w:val="none" w:sz="0" w:space="0" w:color="auto"/>
            <w:right w:val="none" w:sz="0" w:space="0" w:color="auto"/>
          </w:divBdr>
        </w:div>
      </w:divsChild>
    </w:div>
    <w:div w:id="204680328">
      <w:bodyDiv w:val="1"/>
      <w:marLeft w:val="0"/>
      <w:marRight w:val="0"/>
      <w:marTop w:val="0"/>
      <w:marBottom w:val="0"/>
      <w:divBdr>
        <w:top w:val="none" w:sz="0" w:space="0" w:color="auto"/>
        <w:left w:val="none" w:sz="0" w:space="0" w:color="auto"/>
        <w:bottom w:val="none" w:sz="0" w:space="0" w:color="auto"/>
        <w:right w:val="none" w:sz="0" w:space="0" w:color="auto"/>
      </w:divBdr>
      <w:divsChild>
        <w:div w:id="284503952">
          <w:marLeft w:val="994"/>
          <w:marRight w:val="0"/>
          <w:marTop w:val="0"/>
          <w:marBottom w:val="0"/>
          <w:divBdr>
            <w:top w:val="none" w:sz="0" w:space="0" w:color="auto"/>
            <w:left w:val="none" w:sz="0" w:space="0" w:color="auto"/>
            <w:bottom w:val="none" w:sz="0" w:space="0" w:color="auto"/>
            <w:right w:val="none" w:sz="0" w:space="0" w:color="auto"/>
          </w:divBdr>
        </w:div>
        <w:div w:id="694842183">
          <w:marLeft w:val="994"/>
          <w:marRight w:val="0"/>
          <w:marTop w:val="0"/>
          <w:marBottom w:val="0"/>
          <w:divBdr>
            <w:top w:val="none" w:sz="0" w:space="0" w:color="auto"/>
            <w:left w:val="none" w:sz="0" w:space="0" w:color="auto"/>
            <w:bottom w:val="none" w:sz="0" w:space="0" w:color="auto"/>
            <w:right w:val="none" w:sz="0" w:space="0" w:color="auto"/>
          </w:divBdr>
        </w:div>
        <w:div w:id="1562476539">
          <w:marLeft w:val="994"/>
          <w:marRight w:val="0"/>
          <w:marTop w:val="0"/>
          <w:marBottom w:val="0"/>
          <w:divBdr>
            <w:top w:val="none" w:sz="0" w:space="0" w:color="auto"/>
            <w:left w:val="none" w:sz="0" w:space="0" w:color="auto"/>
            <w:bottom w:val="none" w:sz="0" w:space="0" w:color="auto"/>
            <w:right w:val="none" w:sz="0" w:space="0" w:color="auto"/>
          </w:divBdr>
        </w:div>
      </w:divsChild>
    </w:div>
    <w:div w:id="207647318">
      <w:bodyDiv w:val="1"/>
      <w:marLeft w:val="0"/>
      <w:marRight w:val="0"/>
      <w:marTop w:val="0"/>
      <w:marBottom w:val="0"/>
      <w:divBdr>
        <w:top w:val="none" w:sz="0" w:space="0" w:color="auto"/>
        <w:left w:val="none" w:sz="0" w:space="0" w:color="auto"/>
        <w:bottom w:val="none" w:sz="0" w:space="0" w:color="auto"/>
        <w:right w:val="none" w:sz="0" w:space="0" w:color="auto"/>
      </w:divBdr>
      <w:divsChild>
        <w:div w:id="1855001298">
          <w:marLeft w:val="274"/>
          <w:marRight w:val="0"/>
          <w:marTop w:val="0"/>
          <w:marBottom w:val="0"/>
          <w:divBdr>
            <w:top w:val="none" w:sz="0" w:space="0" w:color="auto"/>
            <w:left w:val="none" w:sz="0" w:space="0" w:color="auto"/>
            <w:bottom w:val="none" w:sz="0" w:space="0" w:color="auto"/>
            <w:right w:val="none" w:sz="0" w:space="0" w:color="auto"/>
          </w:divBdr>
        </w:div>
      </w:divsChild>
    </w:div>
    <w:div w:id="207961311">
      <w:bodyDiv w:val="1"/>
      <w:marLeft w:val="0"/>
      <w:marRight w:val="0"/>
      <w:marTop w:val="0"/>
      <w:marBottom w:val="0"/>
      <w:divBdr>
        <w:top w:val="none" w:sz="0" w:space="0" w:color="auto"/>
        <w:left w:val="none" w:sz="0" w:space="0" w:color="auto"/>
        <w:bottom w:val="none" w:sz="0" w:space="0" w:color="auto"/>
        <w:right w:val="none" w:sz="0" w:space="0" w:color="auto"/>
      </w:divBdr>
    </w:div>
    <w:div w:id="219247539">
      <w:bodyDiv w:val="1"/>
      <w:marLeft w:val="0"/>
      <w:marRight w:val="0"/>
      <w:marTop w:val="0"/>
      <w:marBottom w:val="0"/>
      <w:divBdr>
        <w:top w:val="none" w:sz="0" w:space="0" w:color="auto"/>
        <w:left w:val="none" w:sz="0" w:space="0" w:color="auto"/>
        <w:bottom w:val="none" w:sz="0" w:space="0" w:color="auto"/>
        <w:right w:val="none" w:sz="0" w:space="0" w:color="auto"/>
      </w:divBdr>
      <w:divsChild>
        <w:div w:id="56711284">
          <w:marLeft w:val="274"/>
          <w:marRight w:val="0"/>
          <w:marTop w:val="0"/>
          <w:marBottom w:val="0"/>
          <w:divBdr>
            <w:top w:val="none" w:sz="0" w:space="0" w:color="auto"/>
            <w:left w:val="none" w:sz="0" w:space="0" w:color="auto"/>
            <w:bottom w:val="none" w:sz="0" w:space="0" w:color="auto"/>
            <w:right w:val="none" w:sz="0" w:space="0" w:color="auto"/>
          </w:divBdr>
        </w:div>
        <w:div w:id="1874491006">
          <w:marLeft w:val="274"/>
          <w:marRight w:val="0"/>
          <w:marTop w:val="0"/>
          <w:marBottom w:val="0"/>
          <w:divBdr>
            <w:top w:val="none" w:sz="0" w:space="0" w:color="auto"/>
            <w:left w:val="none" w:sz="0" w:space="0" w:color="auto"/>
            <w:bottom w:val="none" w:sz="0" w:space="0" w:color="auto"/>
            <w:right w:val="none" w:sz="0" w:space="0" w:color="auto"/>
          </w:divBdr>
        </w:div>
      </w:divsChild>
    </w:div>
    <w:div w:id="242569162">
      <w:bodyDiv w:val="1"/>
      <w:marLeft w:val="0"/>
      <w:marRight w:val="0"/>
      <w:marTop w:val="0"/>
      <w:marBottom w:val="0"/>
      <w:divBdr>
        <w:top w:val="none" w:sz="0" w:space="0" w:color="auto"/>
        <w:left w:val="none" w:sz="0" w:space="0" w:color="auto"/>
        <w:bottom w:val="none" w:sz="0" w:space="0" w:color="auto"/>
        <w:right w:val="none" w:sz="0" w:space="0" w:color="auto"/>
      </w:divBdr>
    </w:div>
    <w:div w:id="242764986">
      <w:bodyDiv w:val="1"/>
      <w:marLeft w:val="0"/>
      <w:marRight w:val="0"/>
      <w:marTop w:val="0"/>
      <w:marBottom w:val="0"/>
      <w:divBdr>
        <w:top w:val="none" w:sz="0" w:space="0" w:color="auto"/>
        <w:left w:val="none" w:sz="0" w:space="0" w:color="auto"/>
        <w:bottom w:val="none" w:sz="0" w:space="0" w:color="auto"/>
        <w:right w:val="none" w:sz="0" w:space="0" w:color="auto"/>
      </w:divBdr>
    </w:div>
    <w:div w:id="243104441">
      <w:bodyDiv w:val="1"/>
      <w:marLeft w:val="0"/>
      <w:marRight w:val="0"/>
      <w:marTop w:val="0"/>
      <w:marBottom w:val="0"/>
      <w:divBdr>
        <w:top w:val="none" w:sz="0" w:space="0" w:color="auto"/>
        <w:left w:val="none" w:sz="0" w:space="0" w:color="auto"/>
        <w:bottom w:val="none" w:sz="0" w:space="0" w:color="auto"/>
        <w:right w:val="none" w:sz="0" w:space="0" w:color="auto"/>
      </w:divBdr>
    </w:div>
    <w:div w:id="251356372">
      <w:bodyDiv w:val="1"/>
      <w:marLeft w:val="0"/>
      <w:marRight w:val="0"/>
      <w:marTop w:val="0"/>
      <w:marBottom w:val="0"/>
      <w:divBdr>
        <w:top w:val="none" w:sz="0" w:space="0" w:color="auto"/>
        <w:left w:val="none" w:sz="0" w:space="0" w:color="auto"/>
        <w:bottom w:val="none" w:sz="0" w:space="0" w:color="auto"/>
        <w:right w:val="none" w:sz="0" w:space="0" w:color="auto"/>
      </w:divBdr>
    </w:div>
    <w:div w:id="252008326">
      <w:bodyDiv w:val="1"/>
      <w:marLeft w:val="0"/>
      <w:marRight w:val="0"/>
      <w:marTop w:val="0"/>
      <w:marBottom w:val="0"/>
      <w:divBdr>
        <w:top w:val="none" w:sz="0" w:space="0" w:color="auto"/>
        <w:left w:val="none" w:sz="0" w:space="0" w:color="auto"/>
        <w:bottom w:val="none" w:sz="0" w:space="0" w:color="auto"/>
        <w:right w:val="none" w:sz="0" w:space="0" w:color="auto"/>
      </w:divBdr>
      <w:divsChild>
        <w:div w:id="426003789">
          <w:marLeft w:val="274"/>
          <w:marRight w:val="0"/>
          <w:marTop w:val="0"/>
          <w:marBottom w:val="0"/>
          <w:divBdr>
            <w:top w:val="none" w:sz="0" w:space="0" w:color="auto"/>
            <w:left w:val="none" w:sz="0" w:space="0" w:color="auto"/>
            <w:bottom w:val="none" w:sz="0" w:space="0" w:color="auto"/>
            <w:right w:val="none" w:sz="0" w:space="0" w:color="auto"/>
          </w:divBdr>
        </w:div>
        <w:div w:id="536234279">
          <w:marLeft w:val="274"/>
          <w:marRight w:val="0"/>
          <w:marTop w:val="0"/>
          <w:marBottom w:val="0"/>
          <w:divBdr>
            <w:top w:val="none" w:sz="0" w:space="0" w:color="auto"/>
            <w:left w:val="none" w:sz="0" w:space="0" w:color="auto"/>
            <w:bottom w:val="none" w:sz="0" w:space="0" w:color="auto"/>
            <w:right w:val="none" w:sz="0" w:space="0" w:color="auto"/>
          </w:divBdr>
        </w:div>
        <w:div w:id="1874072351">
          <w:marLeft w:val="274"/>
          <w:marRight w:val="0"/>
          <w:marTop w:val="0"/>
          <w:marBottom w:val="0"/>
          <w:divBdr>
            <w:top w:val="none" w:sz="0" w:space="0" w:color="auto"/>
            <w:left w:val="none" w:sz="0" w:space="0" w:color="auto"/>
            <w:bottom w:val="none" w:sz="0" w:space="0" w:color="auto"/>
            <w:right w:val="none" w:sz="0" w:space="0" w:color="auto"/>
          </w:divBdr>
        </w:div>
      </w:divsChild>
    </w:div>
    <w:div w:id="256056679">
      <w:bodyDiv w:val="1"/>
      <w:marLeft w:val="0"/>
      <w:marRight w:val="0"/>
      <w:marTop w:val="0"/>
      <w:marBottom w:val="0"/>
      <w:divBdr>
        <w:top w:val="none" w:sz="0" w:space="0" w:color="auto"/>
        <w:left w:val="none" w:sz="0" w:space="0" w:color="auto"/>
        <w:bottom w:val="none" w:sz="0" w:space="0" w:color="auto"/>
        <w:right w:val="none" w:sz="0" w:space="0" w:color="auto"/>
      </w:divBdr>
    </w:div>
    <w:div w:id="263270296">
      <w:bodyDiv w:val="1"/>
      <w:marLeft w:val="0"/>
      <w:marRight w:val="0"/>
      <w:marTop w:val="0"/>
      <w:marBottom w:val="0"/>
      <w:divBdr>
        <w:top w:val="none" w:sz="0" w:space="0" w:color="auto"/>
        <w:left w:val="none" w:sz="0" w:space="0" w:color="auto"/>
        <w:bottom w:val="none" w:sz="0" w:space="0" w:color="auto"/>
        <w:right w:val="none" w:sz="0" w:space="0" w:color="auto"/>
      </w:divBdr>
    </w:div>
    <w:div w:id="264505965">
      <w:bodyDiv w:val="1"/>
      <w:marLeft w:val="0"/>
      <w:marRight w:val="0"/>
      <w:marTop w:val="0"/>
      <w:marBottom w:val="0"/>
      <w:divBdr>
        <w:top w:val="none" w:sz="0" w:space="0" w:color="auto"/>
        <w:left w:val="none" w:sz="0" w:space="0" w:color="auto"/>
        <w:bottom w:val="none" w:sz="0" w:space="0" w:color="auto"/>
        <w:right w:val="none" w:sz="0" w:space="0" w:color="auto"/>
      </w:divBdr>
    </w:div>
    <w:div w:id="268704453">
      <w:bodyDiv w:val="1"/>
      <w:marLeft w:val="0"/>
      <w:marRight w:val="0"/>
      <w:marTop w:val="0"/>
      <w:marBottom w:val="0"/>
      <w:divBdr>
        <w:top w:val="none" w:sz="0" w:space="0" w:color="auto"/>
        <w:left w:val="none" w:sz="0" w:space="0" w:color="auto"/>
        <w:bottom w:val="none" w:sz="0" w:space="0" w:color="auto"/>
        <w:right w:val="none" w:sz="0" w:space="0" w:color="auto"/>
      </w:divBdr>
      <w:divsChild>
        <w:div w:id="343241425">
          <w:marLeft w:val="274"/>
          <w:marRight w:val="0"/>
          <w:marTop w:val="0"/>
          <w:marBottom w:val="0"/>
          <w:divBdr>
            <w:top w:val="none" w:sz="0" w:space="0" w:color="auto"/>
            <w:left w:val="none" w:sz="0" w:space="0" w:color="auto"/>
            <w:bottom w:val="none" w:sz="0" w:space="0" w:color="auto"/>
            <w:right w:val="none" w:sz="0" w:space="0" w:color="auto"/>
          </w:divBdr>
        </w:div>
        <w:div w:id="1340933819">
          <w:marLeft w:val="274"/>
          <w:marRight w:val="0"/>
          <w:marTop w:val="0"/>
          <w:marBottom w:val="0"/>
          <w:divBdr>
            <w:top w:val="none" w:sz="0" w:space="0" w:color="auto"/>
            <w:left w:val="none" w:sz="0" w:space="0" w:color="auto"/>
            <w:bottom w:val="none" w:sz="0" w:space="0" w:color="auto"/>
            <w:right w:val="none" w:sz="0" w:space="0" w:color="auto"/>
          </w:divBdr>
        </w:div>
        <w:div w:id="1501774926">
          <w:marLeft w:val="274"/>
          <w:marRight w:val="0"/>
          <w:marTop w:val="0"/>
          <w:marBottom w:val="0"/>
          <w:divBdr>
            <w:top w:val="none" w:sz="0" w:space="0" w:color="auto"/>
            <w:left w:val="none" w:sz="0" w:space="0" w:color="auto"/>
            <w:bottom w:val="none" w:sz="0" w:space="0" w:color="auto"/>
            <w:right w:val="none" w:sz="0" w:space="0" w:color="auto"/>
          </w:divBdr>
        </w:div>
      </w:divsChild>
    </w:div>
    <w:div w:id="279605468">
      <w:bodyDiv w:val="1"/>
      <w:marLeft w:val="0"/>
      <w:marRight w:val="0"/>
      <w:marTop w:val="0"/>
      <w:marBottom w:val="0"/>
      <w:divBdr>
        <w:top w:val="none" w:sz="0" w:space="0" w:color="auto"/>
        <w:left w:val="none" w:sz="0" w:space="0" w:color="auto"/>
        <w:bottom w:val="none" w:sz="0" w:space="0" w:color="auto"/>
        <w:right w:val="none" w:sz="0" w:space="0" w:color="auto"/>
      </w:divBdr>
    </w:div>
    <w:div w:id="28365578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3435910">
      <w:bodyDiv w:val="1"/>
      <w:marLeft w:val="0"/>
      <w:marRight w:val="0"/>
      <w:marTop w:val="0"/>
      <w:marBottom w:val="0"/>
      <w:divBdr>
        <w:top w:val="none" w:sz="0" w:space="0" w:color="auto"/>
        <w:left w:val="none" w:sz="0" w:space="0" w:color="auto"/>
        <w:bottom w:val="none" w:sz="0" w:space="0" w:color="auto"/>
        <w:right w:val="none" w:sz="0" w:space="0" w:color="auto"/>
      </w:divBdr>
    </w:div>
    <w:div w:id="325213099">
      <w:bodyDiv w:val="1"/>
      <w:marLeft w:val="0"/>
      <w:marRight w:val="0"/>
      <w:marTop w:val="0"/>
      <w:marBottom w:val="0"/>
      <w:divBdr>
        <w:top w:val="none" w:sz="0" w:space="0" w:color="auto"/>
        <w:left w:val="none" w:sz="0" w:space="0" w:color="auto"/>
        <w:bottom w:val="none" w:sz="0" w:space="0" w:color="auto"/>
        <w:right w:val="none" w:sz="0" w:space="0" w:color="auto"/>
      </w:divBdr>
    </w:div>
    <w:div w:id="327296943">
      <w:bodyDiv w:val="1"/>
      <w:marLeft w:val="0"/>
      <w:marRight w:val="0"/>
      <w:marTop w:val="0"/>
      <w:marBottom w:val="0"/>
      <w:divBdr>
        <w:top w:val="none" w:sz="0" w:space="0" w:color="auto"/>
        <w:left w:val="none" w:sz="0" w:space="0" w:color="auto"/>
        <w:bottom w:val="none" w:sz="0" w:space="0" w:color="auto"/>
        <w:right w:val="none" w:sz="0" w:space="0" w:color="auto"/>
      </w:divBdr>
    </w:div>
    <w:div w:id="331179734">
      <w:bodyDiv w:val="1"/>
      <w:marLeft w:val="0"/>
      <w:marRight w:val="0"/>
      <w:marTop w:val="0"/>
      <w:marBottom w:val="0"/>
      <w:divBdr>
        <w:top w:val="none" w:sz="0" w:space="0" w:color="auto"/>
        <w:left w:val="none" w:sz="0" w:space="0" w:color="auto"/>
        <w:bottom w:val="none" w:sz="0" w:space="0" w:color="auto"/>
        <w:right w:val="none" w:sz="0" w:space="0" w:color="auto"/>
      </w:divBdr>
      <w:divsChild>
        <w:div w:id="1898004715">
          <w:marLeft w:val="446"/>
          <w:marRight w:val="0"/>
          <w:marTop w:val="86"/>
          <w:marBottom w:val="0"/>
          <w:divBdr>
            <w:top w:val="none" w:sz="0" w:space="0" w:color="auto"/>
            <w:left w:val="none" w:sz="0" w:space="0" w:color="auto"/>
            <w:bottom w:val="none" w:sz="0" w:space="0" w:color="auto"/>
            <w:right w:val="none" w:sz="0" w:space="0" w:color="auto"/>
          </w:divBdr>
        </w:div>
      </w:divsChild>
    </w:div>
    <w:div w:id="344208766">
      <w:bodyDiv w:val="1"/>
      <w:marLeft w:val="0"/>
      <w:marRight w:val="0"/>
      <w:marTop w:val="0"/>
      <w:marBottom w:val="0"/>
      <w:divBdr>
        <w:top w:val="none" w:sz="0" w:space="0" w:color="auto"/>
        <w:left w:val="none" w:sz="0" w:space="0" w:color="auto"/>
        <w:bottom w:val="none" w:sz="0" w:space="0" w:color="auto"/>
        <w:right w:val="none" w:sz="0" w:space="0" w:color="auto"/>
      </w:divBdr>
    </w:div>
    <w:div w:id="352460730">
      <w:bodyDiv w:val="1"/>
      <w:marLeft w:val="0"/>
      <w:marRight w:val="0"/>
      <w:marTop w:val="0"/>
      <w:marBottom w:val="0"/>
      <w:divBdr>
        <w:top w:val="none" w:sz="0" w:space="0" w:color="auto"/>
        <w:left w:val="none" w:sz="0" w:space="0" w:color="auto"/>
        <w:bottom w:val="none" w:sz="0" w:space="0" w:color="auto"/>
        <w:right w:val="none" w:sz="0" w:space="0" w:color="auto"/>
      </w:divBdr>
      <w:divsChild>
        <w:div w:id="183177161">
          <w:marLeft w:val="274"/>
          <w:marRight w:val="0"/>
          <w:marTop w:val="0"/>
          <w:marBottom w:val="0"/>
          <w:divBdr>
            <w:top w:val="none" w:sz="0" w:space="0" w:color="auto"/>
            <w:left w:val="none" w:sz="0" w:space="0" w:color="auto"/>
            <w:bottom w:val="none" w:sz="0" w:space="0" w:color="auto"/>
            <w:right w:val="none" w:sz="0" w:space="0" w:color="auto"/>
          </w:divBdr>
        </w:div>
      </w:divsChild>
    </w:div>
    <w:div w:id="355926352">
      <w:bodyDiv w:val="1"/>
      <w:marLeft w:val="0"/>
      <w:marRight w:val="0"/>
      <w:marTop w:val="0"/>
      <w:marBottom w:val="0"/>
      <w:divBdr>
        <w:top w:val="none" w:sz="0" w:space="0" w:color="auto"/>
        <w:left w:val="none" w:sz="0" w:space="0" w:color="auto"/>
        <w:bottom w:val="none" w:sz="0" w:space="0" w:color="auto"/>
        <w:right w:val="none" w:sz="0" w:space="0" w:color="auto"/>
      </w:divBdr>
      <w:divsChild>
        <w:div w:id="465926627">
          <w:marLeft w:val="274"/>
          <w:marRight w:val="0"/>
          <w:marTop w:val="0"/>
          <w:marBottom w:val="0"/>
          <w:divBdr>
            <w:top w:val="none" w:sz="0" w:space="0" w:color="auto"/>
            <w:left w:val="none" w:sz="0" w:space="0" w:color="auto"/>
            <w:bottom w:val="none" w:sz="0" w:space="0" w:color="auto"/>
            <w:right w:val="none" w:sz="0" w:space="0" w:color="auto"/>
          </w:divBdr>
        </w:div>
      </w:divsChild>
    </w:div>
    <w:div w:id="397478614">
      <w:bodyDiv w:val="1"/>
      <w:marLeft w:val="0"/>
      <w:marRight w:val="0"/>
      <w:marTop w:val="0"/>
      <w:marBottom w:val="0"/>
      <w:divBdr>
        <w:top w:val="none" w:sz="0" w:space="0" w:color="auto"/>
        <w:left w:val="none" w:sz="0" w:space="0" w:color="auto"/>
        <w:bottom w:val="none" w:sz="0" w:space="0" w:color="auto"/>
        <w:right w:val="none" w:sz="0" w:space="0" w:color="auto"/>
      </w:divBdr>
      <w:divsChild>
        <w:div w:id="540439017">
          <w:marLeft w:val="274"/>
          <w:marRight w:val="0"/>
          <w:marTop w:val="0"/>
          <w:marBottom w:val="0"/>
          <w:divBdr>
            <w:top w:val="none" w:sz="0" w:space="0" w:color="auto"/>
            <w:left w:val="none" w:sz="0" w:space="0" w:color="auto"/>
            <w:bottom w:val="none" w:sz="0" w:space="0" w:color="auto"/>
            <w:right w:val="none" w:sz="0" w:space="0" w:color="auto"/>
          </w:divBdr>
        </w:div>
        <w:div w:id="1184589580">
          <w:marLeft w:val="274"/>
          <w:marRight w:val="0"/>
          <w:marTop w:val="0"/>
          <w:marBottom w:val="0"/>
          <w:divBdr>
            <w:top w:val="none" w:sz="0" w:space="0" w:color="auto"/>
            <w:left w:val="none" w:sz="0" w:space="0" w:color="auto"/>
            <w:bottom w:val="none" w:sz="0" w:space="0" w:color="auto"/>
            <w:right w:val="none" w:sz="0" w:space="0" w:color="auto"/>
          </w:divBdr>
        </w:div>
        <w:div w:id="2132626162">
          <w:marLeft w:val="274"/>
          <w:marRight w:val="0"/>
          <w:marTop w:val="0"/>
          <w:marBottom w:val="0"/>
          <w:divBdr>
            <w:top w:val="none" w:sz="0" w:space="0" w:color="auto"/>
            <w:left w:val="none" w:sz="0" w:space="0" w:color="auto"/>
            <w:bottom w:val="none" w:sz="0" w:space="0" w:color="auto"/>
            <w:right w:val="none" w:sz="0" w:space="0" w:color="auto"/>
          </w:divBdr>
        </w:div>
      </w:divsChild>
    </w:div>
    <w:div w:id="401753398">
      <w:bodyDiv w:val="1"/>
      <w:marLeft w:val="0"/>
      <w:marRight w:val="0"/>
      <w:marTop w:val="0"/>
      <w:marBottom w:val="0"/>
      <w:divBdr>
        <w:top w:val="none" w:sz="0" w:space="0" w:color="auto"/>
        <w:left w:val="none" w:sz="0" w:space="0" w:color="auto"/>
        <w:bottom w:val="none" w:sz="0" w:space="0" w:color="auto"/>
        <w:right w:val="none" w:sz="0" w:space="0" w:color="auto"/>
      </w:divBdr>
    </w:div>
    <w:div w:id="402797498">
      <w:bodyDiv w:val="1"/>
      <w:marLeft w:val="0"/>
      <w:marRight w:val="0"/>
      <w:marTop w:val="0"/>
      <w:marBottom w:val="0"/>
      <w:divBdr>
        <w:top w:val="none" w:sz="0" w:space="0" w:color="auto"/>
        <w:left w:val="none" w:sz="0" w:space="0" w:color="auto"/>
        <w:bottom w:val="none" w:sz="0" w:space="0" w:color="auto"/>
        <w:right w:val="none" w:sz="0" w:space="0" w:color="auto"/>
      </w:divBdr>
      <w:divsChild>
        <w:div w:id="496310948">
          <w:marLeft w:val="446"/>
          <w:marRight w:val="0"/>
          <w:marTop w:val="86"/>
          <w:marBottom w:val="0"/>
          <w:divBdr>
            <w:top w:val="none" w:sz="0" w:space="0" w:color="auto"/>
            <w:left w:val="none" w:sz="0" w:space="0" w:color="auto"/>
            <w:bottom w:val="none" w:sz="0" w:space="0" w:color="auto"/>
            <w:right w:val="none" w:sz="0" w:space="0" w:color="auto"/>
          </w:divBdr>
        </w:div>
      </w:divsChild>
    </w:div>
    <w:div w:id="407384789">
      <w:bodyDiv w:val="1"/>
      <w:marLeft w:val="0"/>
      <w:marRight w:val="0"/>
      <w:marTop w:val="0"/>
      <w:marBottom w:val="0"/>
      <w:divBdr>
        <w:top w:val="none" w:sz="0" w:space="0" w:color="auto"/>
        <w:left w:val="none" w:sz="0" w:space="0" w:color="auto"/>
        <w:bottom w:val="none" w:sz="0" w:space="0" w:color="auto"/>
        <w:right w:val="none" w:sz="0" w:space="0" w:color="auto"/>
      </w:divBdr>
    </w:div>
    <w:div w:id="408968820">
      <w:bodyDiv w:val="1"/>
      <w:marLeft w:val="0"/>
      <w:marRight w:val="0"/>
      <w:marTop w:val="0"/>
      <w:marBottom w:val="0"/>
      <w:divBdr>
        <w:top w:val="none" w:sz="0" w:space="0" w:color="auto"/>
        <w:left w:val="none" w:sz="0" w:space="0" w:color="auto"/>
        <w:bottom w:val="none" w:sz="0" w:space="0" w:color="auto"/>
        <w:right w:val="none" w:sz="0" w:space="0" w:color="auto"/>
      </w:divBdr>
    </w:div>
    <w:div w:id="423262879">
      <w:bodyDiv w:val="1"/>
      <w:marLeft w:val="0"/>
      <w:marRight w:val="0"/>
      <w:marTop w:val="0"/>
      <w:marBottom w:val="0"/>
      <w:divBdr>
        <w:top w:val="none" w:sz="0" w:space="0" w:color="auto"/>
        <w:left w:val="none" w:sz="0" w:space="0" w:color="auto"/>
        <w:bottom w:val="none" w:sz="0" w:space="0" w:color="auto"/>
        <w:right w:val="none" w:sz="0" w:space="0" w:color="auto"/>
      </w:divBdr>
    </w:div>
    <w:div w:id="427241922">
      <w:bodyDiv w:val="1"/>
      <w:marLeft w:val="0"/>
      <w:marRight w:val="0"/>
      <w:marTop w:val="0"/>
      <w:marBottom w:val="0"/>
      <w:divBdr>
        <w:top w:val="none" w:sz="0" w:space="0" w:color="auto"/>
        <w:left w:val="none" w:sz="0" w:space="0" w:color="auto"/>
        <w:bottom w:val="none" w:sz="0" w:space="0" w:color="auto"/>
        <w:right w:val="none" w:sz="0" w:space="0" w:color="auto"/>
      </w:divBdr>
      <w:divsChild>
        <w:div w:id="1257247796">
          <w:marLeft w:val="274"/>
          <w:marRight w:val="0"/>
          <w:marTop w:val="0"/>
          <w:marBottom w:val="0"/>
          <w:divBdr>
            <w:top w:val="none" w:sz="0" w:space="0" w:color="auto"/>
            <w:left w:val="none" w:sz="0" w:space="0" w:color="auto"/>
            <w:bottom w:val="none" w:sz="0" w:space="0" w:color="auto"/>
            <w:right w:val="none" w:sz="0" w:space="0" w:color="auto"/>
          </w:divBdr>
        </w:div>
      </w:divsChild>
    </w:div>
    <w:div w:id="434793483">
      <w:bodyDiv w:val="1"/>
      <w:marLeft w:val="0"/>
      <w:marRight w:val="0"/>
      <w:marTop w:val="0"/>
      <w:marBottom w:val="0"/>
      <w:divBdr>
        <w:top w:val="none" w:sz="0" w:space="0" w:color="auto"/>
        <w:left w:val="none" w:sz="0" w:space="0" w:color="auto"/>
        <w:bottom w:val="none" w:sz="0" w:space="0" w:color="auto"/>
        <w:right w:val="none" w:sz="0" w:space="0" w:color="auto"/>
      </w:divBdr>
    </w:div>
    <w:div w:id="439105134">
      <w:bodyDiv w:val="1"/>
      <w:marLeft w:val="0"/>
      <w:marRight w:val="0"/>
      <w:marTop w:val="0"/>
      <w:marBottom w:val="0"/>
      <w:divBdr>
        <w:top w:val="none" w:sz="0" w:space="0" w:color="auto"/>
        <w:left w:val="none" w:sz="0" w:space="0" w:color="auto"/>
        <w:bottom w:val="none" w:sz="0" w:space="0" w:color="auto"/>
        <w:right w:val="none" w:sz="0" w:space="0" w:color="auto"/>
      </w:divBdr>
    </w:div>
    <w:div w:id="452867847">
      <w:bodyDiv w:val="1"/>
      <w:marLeft w:val="0"/>
      <w:marRight w:val="0"/>
      <w:marTop w:val="0"/>
      <w:marBottom w:val="0"/>
      <w:divBdr>
        <w:top w:val="none" w:sz="0" w:space="0" w:color="auto"/>
        <w:left w:val="none" w:sz="0" w:space="0" w:color="auto"/>
        <w:bottom w:val="none" w:sz="0" w:space="0" w:color="auto"/>
        <w:right w:val="none" w:sz="0" w:space="0" w:color="auto"/>
      </w:divBdr>
    </w:div>
    <w:div w:id="465240341">
      <w:bodyDiv w:val="1"/>
      <w:marLeft w:val="0"/>
      <w:marRight w:val="0"/>
      <w:marTop w:val="0"/>
      <w:marBottom w:val="0"/>
      <w:divBdr>
        <w:top w:val="none" w:sz="0" w:space="0" w:color="auto"/>
        <w:left w:val="none" w:sz="0" w:space="0" w:color="auto"/>
        <w:bottom w:val="none" w:sz="0" w:space="0" w:color="auto"/>
        <w:right w:val="none" w:sz="0" w:space="0" w:color="auto"/>
      </w:divBdr>
      <w:divsChild>
        <w:div w:id="1207641818">
          <w:marLeft w:val="446"/>
          <w:marRight w:val="0"/>
          <w:marTop w:val="0"/>
          <w:marBottom w:val="0"/>
          <w:divBdr>
            <w:top w:val="none" w:sz="0" w:space="0" w:color="auto"/>
            <w:left w:val="none" w:sz="0" w:space="0" w:color="auto"/>
            <w:bottom w:val="none" w:sz="0" w:space="0" w:color="auto"/>
            <w:right w:val="none" w:sz="0" w:space="0" w:color="auto"/>
          </w:divBdr>
        </w:div>
        <w:div w:id="1445463004">
          <w:marLeft w:val="446"/>
          <w:marRight w:val="0"/>
          <w:marTop w:val="0"/>
          <w:marBottom w:val="0"/>
          <w:divBdr>
            <w:top w:val="none" w:sz="0" w:space="0" w:color="auto"/>
            <w:left w:val="none" w:sz="0" w:space="0" w:color="auto"/>
            <w:bottom w:val="none" w:sz="0" w:space="0" w:color="auto"/>
            <w:right w:val="none" w:sz="0" w:space="0" w:color="auto"/>
          </w:divBdr>
        </w:div>
        <w:div w:id="1717199214">
          <w:marLeft w:val="446"/>
          <w:marRight w:val="0"/>
          <w:marTop w:val="0"/>
          <w:marBottom w:val="0"/>
          <w:divBdr>
            <w:top w:val="none" w:sz="0" w:space="0" w:color="auto"/>
            <w:left w:val="none" w:sz="0" w:space="0" w:color="auto"/>
            <w:bottom w:val="none" w:sz="0" w:space="0" w:color="auto"/>
            <w:right w:val="none" w:sz="0" w:space="0" w:color="auto"/>
          </w:divBdr>
        </w:div>
        <w:div w:id="2095660890">
          <w:marLeft w:val="446"/>
          <w:marRight w:val="0"/>
          <w:marTop w:val="0"/>
          <w:marBottom w:val="0"/>
          <w:divBdr>
            <w:top w:val="none" w:sz="0" w:space="0" w:color="auto"/>
            <w:left w:val="none" w:sz="0" w:space="0" w:color="auto"/>
            <w:bottom w:val="none" w:sz="0" w:space="0" w:color="auto"/>
            <w:right w:val="none" w:sz="0" w:space="0" w:color="auto"/>
          </w:divBdr>
        </w:div>
      </w:divsChild>
    </w:div>
    <w:div w:id="508561618">
      <w:bodyDiv w:val="1"/>
      <w:marLeft w:val="0"/>
      <w:marRight w:val="0"/>
      <w:marTop w:val="0"/>
      <w:marBottom w:val="0"/>
      <w:divBdr>
        <w:top w:val="none" w:sz="0" w:space="0" w:color="auto"/>
        <w:left w:val="none" w:sz="0" w:space="0" w:color="auto"/>
        <w:bottom w:val="none" w:sz="0" w:space="0" w:color="auto"/>
        <w:right w:val="none" w:sz="0" w:space="0" w:color="auto"/>
      </w:divBdr>
    </w:div>
    <w:div w:id="522327257">
      <w:bodyDiv w:val="1"/>
      <w:marLeft w:val="0"/>
      <w:marRight w:val="0"/>
      <w:marTop w:val="0"/>
      <w:marBottom w:val="0"/>
      <w:divBdr>
        <w:top w:val="none" w:sz="0" w:space="0" w:color="auto"/>
        <w:left w:val="none" w:sz="0" w:space="0" w:color="auto"/>
        <w:bottom w:val="none" w:sz="0" w:space="0" w:color="auto"/>
        <w:right w:val="none" w:sz="0" w:space="0" w:color="auto"/>
      </w:divBdr>
      <w:divsChild>
        <w:div w:id="198014355">
          <w:marLeft w:val="274"/>
          <w:marRight w:val="0"/>
          <w:marTop w:val="0"/>
          <w:marBottom w:val="0"/>
          <w:divBdr>
            <w:top w:val="none" w:sz="0" w:space="0" w:color="auto"/>
            <w:left w:val="none" w:sz="0" w:space="0" w:color="auto"/>
            <w:bottom w:val="none" w:sz="0" w:space="0" w:color="auto"/>
            <w:right w:val="none" w:sz="0" w:space="0" w:color="auto"/>
          </w:divBdr>
        </w:div>
        <w:div w:id="246816803">
          <w:marLeft w:val="274"/>
          <w:marRight w:val="0"/>
          <w:marTop w:val="0"/>
          <w:marBottom w:val="0"/>
          <w:divBdr>
            <w:top w:val="none" w:sz="0" w:space="0" w:color="auto"/>
            <w:left w:val="none" w:sz="0" w:space="0" w:color="auto"/>
            <w:bottom w:val="none" w:sz="0" w:space="0" w:color="auto"/>
            <w:right w:val="none" w:sz="0" w:space="0" w:color="auto"/>
          </w:divBdr>
        </w:div>
        <w:div w:id="775447480">
          <w:marLeft w:val="274"/>
          <w:marRight w:val="0"/>
          <w:marTop w:val="0"/>
          <w:marBottom w:val="0"/>
          <w:divBdr>
            <w:top w:val="none" w:sz="0" w:space="0" w:color="auto"/>
            <w:left w:val="none" w:sz="0" w:space="0" w:color="auto"/>
            <w:bottom w:val="none" w:sz="0" w:space="0" w:color="auto"/>
            <w:right w:val="none" w:sz="0" w:space="0" w:color="auto"/>
          </w:divBdr>
        </w:div>
        <w:div w:id="1645156820">
          <w:marLeft w:val="274"/>
          <w:marRight w:val="0"/>
          <w:marTop w:val="0"/>
          <w:marBottom w:val="0"/>
          <w:divBdr>
            <w:top w:val="none" w:sz="0" w:space="0" w:color="auto"/>
            <w:left w:val="none" w:sz="0" w:space="0" w:color="auto"/>
            <w:bottom w:val="none" w:sz="0" w:space="0" w:color="auto"/>
            <w:right w:val="none" w:sz="0" w:space="0" w:color="auto"/>
          </w:divBdr>
        </w:div>
      </w:divsChild>
    </w:div>
    <w:div w:id="522861945">
      <w:bodyDiv w:val="1"/>
      <w:marLeft w:val="0"/>
      <w:marRight w:val="0"/>
      <w:marTop w:val="0"/>
      <w:marBottom w:val="0"/>
      <w:divBdr>
        <w:top w:val="none" w:sz="0" w:space="0" w:color="auto"/>
        <w:left w:val="none" w:sz="0" w:space="0" w:color="auto"/>
        <w:bottom w:val="none" w:sz="0" w:space="0" w:color="auto"/>
        <w:right w:val="none" w:sz="0" w:space="0" w:color="auto"/>
      </w:divBdr>
    </w:div>
    <w:div w:id="527724410">
      <w:bodyDiv w:val="1"/>
      <w:marLeft w:val="0"/>
      <w:marRight w:val="0"/>
      <w:marTop w:val="0"/>
      <w:marBottom w:val="0"/>
      <w:divBdr>
        <w:top w:val="none" w:sz="0" w:space="0" w:color="auto"/>
        <w:left w:val="none" w:sz="0" w:space="0" w:color="auto"/>
        <w:bottom w:val="none" w:sz="0" w:space="0" w:color="auto"/>
        <w:right w:val="none" w:sz="0" w:space="0" w:color="auto"/>
      </w:divBdr>
    </w:div>
    <w:div w:id="531266107">
      <w:bodyDiv w:val="1"/>
      <w:marLeft w:val="0"/>
      <w:marRight w:val="0"/>
      <w:marTop w:val="0"/>
      <w:marBottom w:val="0"/>
      <w:divBdr>
        <w:top w:val="none" w:sz="0" w:space="0" w:color="auto"/>
        <w:left w:val="none" w:sz="0" w:space="0" w:color="auto"/>
        <w:bottom w:val="none" w:sz="0" w:space="0" w:color="auto"/>
        <w:right w:val="none" w:sz="0" w:space="0" w:color="auto"/>
      </w:divBdr>
    </w:div>
    <w:div w:id="534932267">
      <w:bodyDiv w:val="1"/>
      <w:marLeft w:val="0"/>
      <w:marRight w:val="0"/>
      <w:marTop w:val="0"/>
      <w:marBottom w:val="0"/>
      <w:divBdr>
        <w:top w:val="none" w:sz="0" w:space="0" w:color="auto"/>
        <w:left w:val="none" w:sz="0" w:space="0" w:color="auto"/>
        <w:bottom w:val="none" w:sz="0" w:space="0" w:color="auto"/>
        <w:right w:val="none" w:sz="0" w:space="0" w:color="auto"/>
      </w:divBdr>
      <w:divsChild>
        <w:div w:id="135806014">
          <w:marLeft w:val="994"/>
          <w:marRight w:val="0"/>
          <w:marTop w:val="0"/>
          <w:marBottom w:val="0"/>
          <w:divBdr>
            <w:top w:val="none" w:sz="0" w:space="0" w:color="auto"/>
            <w:left w:val="none" w:sz="0" w:space="0" w:color="auto"/>
            <w:bottom w:val="none" w:sz="0" w:space="0" w:color="auto"/>
            <w:right w:val="none" w:sz="0" w:space="0" w:color="auto"/>
          </w:divBdr>
        </w:div>
        <w:div w:id="172695174">
          <w:marLeft w:val="994"/>
          <w:marRight w:val="0"/>
          <w:marTop w:val="0"/>
          <w:marBottom w:val="0"/>
          <w:divBdr>
            <w:top w:val="none" w:sz="0" w:space="0" w:color="auto"/>
            <w:left w:val="none" w:sz="0" w:space="0" w:color="auto"/>
            <w:bottom w:val="none" w:sz="0" w:space="0" w:color="auto"/>
            <w:right w:val="none" w:sz="0" w:space="0" w:color="auto"/>
          </w:divBdr>
        </w:div>
        <w:div w:id="223836513">
          <w:marLeft w:val="994"/>
          <w:marRight w:val="0"/>
          <w:marTop w:val="0"/>
          <w:marBottom w:val="0"/>
          <w:divBdr>
            <w:top w:val="none" w:sz="0" w:space="0" w:color="auto"/>
            <w:left w:val="none" w:sz="0" w:space="0" w:color="auto"/>
            <w:bottom w:val="none" w:sz="0" w:space="0" w:color="auto"/>
            <w:right w:val="none" w:sz="0" w:space="0" w:color="auto"/>
          </w:divBdr>
        </w:div>
        <w:div w:id="645547914">
          <w:marLeft w:val="994"/>
          <w:marRight w:val="0"/>
          <w:marTop w:val="0"/>
          <w:marBottom w:val="0"/>
          <w:divBdr>
            <w:top w:val="none" w:sz="0" w:space="0" w:color="auto"/>
            <w:left w:val="none" w:sz="0" w:space="0" w:color="auto"/>
            <w:bottom w:val="none" w:sz="0" w:space="0" w:color="auto"/>
            <w:right w:val="none" w:sz="0" w:space="0" w:color="auto"/>
          </w:divBdr>
        </w:div>
        <w:div w:id="1264072111">
          <w:marLeft w:val="994"/>
          <w:marRight w:val="0"/>
          <w:marTop w:val="0"/>
          <w:marBottom w:val="0"/>
          <w:divBdr>
            <w:top w:val="none" w:sz="0" w:space="0" w:color="auto"/>
            <w:left w:val="none" w:sz="0" w:space="0" w:color="auto"/>
            <w:bottom w:val="none" w:sz="0" w:space="0" w:color="auto"/>
            <w:right w:val="none" w:sz="0" w:space="0" w:color="auto"/>
          </w:divBdr>
        </w:div>
        <w:div w:id="1914076105">
          <w:marLeft w:val="994"/>
          <w:marRight w:val="0"/>
          <w:marTop w:val="0"/>
          <w:marBottom w:val="0"/>
          <w:divBdr>
            <w:top w:val="none" w:sz="0" w:space="0" w:color="auto"/>
            <w:left w:val="none" w:sz="0" w:space="0" w:color="auto"/>
            <w:bottom w:val="none" w:sz="0" w:space="0" w:color="auto"/>
            <w:right w:val="none" w:sz="0" w:space="0" w:color="auto"/>
          </w:divBdr>
        </w:div>
      </w:divsChild>
    </w:div>
    <w:div w:id="542180603">
      <w:bodyDiv w:val="1"/>
      <w:marLeft w:val="0"/>
      <w:marRight w:val="0"/>
      <w:marTop w:val="0"/>
      <w:marBottom w:val="0"/>
      <w:divBdr>
        <w:top w:val="none" w:sz="0" w:space="0" w:color="auto"/>
        <w:left w:val="none" w:sz="0" w:space="0" w:color="auto"/>
        <w:bottom w:val="none" w:sz="0" w:space="0" w:color="auto"/>
        <w:right w:val="none" w:sz="0" w:space="0" w:color="auto"/>
      </w:divBdr>
    </w:div>
    <w:div w:id="564879158">
      <w:bodyDiv w:val="1"/>
      <w:marLeft w:val="0"/>
      <w:marRight w:val="0"/>
      <w:marTop w:val="0"/>
      <w:marBottom w:val="0"/>
      <w:divBdr>
        <w:top w:val="none" w:sz="0" w:space="0" w:color="auto"/>
        <w:left w:val="none" w:sz="0" w:space="0" w:color="auto"/>
        <w:bottom w:val="none" w:sz="0" w:space="0" w:color="auto"/>
        <w:right w:val="none" w:sz="0" w:space="0" w:color="auto"/>
      </w:divBdr>
      <w:divsChild>
        <w:div w:id="382944226">
          <w:marLeft w:val="274"/>
          <w:marRight w:val="0"/>
          <w:marTop w:val="0"/>
          <w:marBottom w:val="0"/>
          <w:divBdr>
            <w:top w:val="none" w:sz="0" w:space="0" w:color="auto"/>
            <w:left w:val="none" w:sz="0" w:space="0" w:color="auto"/>
            <w:bottom w:val="none" w:sz="0" w:space="0" w:color="auto"/>
            <w:right w:val="none" w:sz="0" w:space="0" w:color="auto"/>
          </w:divBdr>
        </w:div>
        <w:div w:id="384643262">
          <w:marLeft w:val="274"/>
          <w:marRight w:val="0"/>
          <w:marTop w:val="0"/>
          <w:marBottom w:val="0"/>
          <w:divBdr>
            <w:top w:val="none" w:sz="0" w:space="0" w:color="auto"/>
            <w:left w:val="none" w:sz="0" w:space="0" w:color="auto"/>
            <w:bottom w:val="none" w:sz="0" w:space="0" w:color="auto"/>
            <w:right w:val="none" w:sz="0" w:space="0" w:color="auto"/>
          </w:divBdr>
        </w:div>
        <w:div w:id="1273778865">
          <w:marLeft w:val="274"/>
          <w:marRight w:val="0"/>
          <w:marTop w:val="0"/>
          <w:marBottom w:val="0"/>
          <w:divBdr>
            <w:top w:val="none" w:sz="0" w:space="0" w:color="auto"/>
            <w:left w:val="none" w:sz="0" w:space="0" w:color="auto"/>
            <w:bottom w:val="none" w:sz="0" w:space="0" w:color="auto"/>
            <w:right w:val="none" w:sz="0" w:space="0" w:color="auto"/>
          </w:divBdr>
        </w:div>
        <w:div w:id="1618558188">
          <w:marLeft w:val="274"/>
          <w:marRight w:val="0"/>
          <w:marTop w:val="0"/>
          <w:marBottom w:val="0"/>
          <w:divBdr>
            <w:top w:val="none" w:sz="0" w:space="0" w:color="auto"/>
            <w:left w:val="none" w:sz="0" w:space="0" w:color="auto"/>
            <w:bottom w:val="none" w:sz="0" w:space="0" w:color="auto"/>
            <w:right w:val="none" w:sz="0" w:space="0" w:color="auto"/>
          </w:divBdr>
        </w:div>
        <w:div w:id="1620144778">
          <w:marLeft w:val="274"/>
          <w:marRight w:val="0"/>
          <w:marTop w:val="0"/>
          <w:marBottom w:val="0"/>
          <w:divBdr>
            <w:top w:val="none" w:sz="0" w:space="0" w:color="auto"/>
            <w:left w:val="none" w:sz="0" w:space="0" w:color="auto"/>
            <w:bottom w:val="none" w:sz="0" w:space="0" w:color="auto"/>
            <w:right w:val="none" w:sz="0" w:space="0" w:color="auto"/>
          </w:divBdr>
        </w:div>
        <w:div w:id="1787844443">
          <w:marLeft w:val="274"/>
          <w:marRight w:val="0"/>
          <w:marTop w:val="0"/>
          <w:marBottom w:val="0"/>
          <w:divBdr>
            <w:top w:val="none" w:sz="0" w:space="0" w:color="auto"/>
            <w:left w:val="none" w:sz="0" w:space="0" w:color="auto"/>
            <w:bottom w:val="none" w:sz="0" w:space="0" w:color="auto"/>
            <w:right w:val="none" w:sz="0" w:space="0" w:color="auto"/>
          </w:divBdr>
        </w:div>
        <w:div w:id="1868104071">
          <w:marLeft w:val="274"/>
          <w:marRight w:val="0"/>
          <w:marTop w:val="0"/>
          <w:marBottom w:val="0"/>
          <w:divBdr>
            <w:top w:val="none" w:sz="0" w:space="0" w:color="auto"/>
            <w:left w:val="none" w:sz="0" w:space="0" w:color="auto"/>
            <w:bottom w:val="none" w:sz="0" w:space="0" w:color="auto"/>
            <w:right w:val="none" w:sz="0" w:space="0" w:color="auto"/>
          </w:divBdr>
        </w:div>
        <w:div w:id="2102722893">
          <w:marLeft w:val="274"/>
          <w:marRight w:val="0"/>
          <w:marTop w:val="0"/>
          <w:marBottom w:val="0"/>
          <w:divBdr>
            <w:top w:val="none" w:sz="0" w:space="0" w:color="auto"/>
            <w:left w:val="none" w:sz="0" w:space="0" w:color="auto"/>
            <w:bottom w:val="none" w:sz="0" w:space="0" w:color="auto"/>
            <w:right w:val="none" w:sz="0" w:space="0" w:color="auto"/>
          </w:divBdr>
        </w:div>
      </w:divsChild>
    </w:div>
    <w:div w:id="575700844">
      <w:bodyDiv w:val="1"/>
      <w:marLeft w:val="0"/>
      <w:marRight w:val="0"/>
      <w:marTop w:val="0"/>
      <w:marBottom w:val="0"/>
      <w:divBdr>
        <w:top w:val="none" w:sz="0" w:space="0" w:color="auto"/>
        <w:left w:val="none" w:sz="0" w:space="0" w:color="auto"/>
        <w:bottom w:val="none" w:sz="0" w:space="0" w:color="auto"/>
        <w:right w:val="none" w:sz="0" w:space="0" w:color="auto"/>
      </w:divBdr>
    </w:div>
    <w:div w:id="579411024">
      <w:bodyDiv w:val="1"/>
      <w:marLeft w:val="0"/>
      <w:marRight w:val="0"/>
      <w:marTop w:val="0"/>
      <w:marBottom w:val="0"/>
      <w:divBdr>
        <w:top w:val="none" w:sz="0" w:space="0" w:color="auto"/>
        <w:left w:val="none" w:sz="0" w:space="0" w:color="auto"/>
        <w:bottom w:val="none" w:sz="0" w:space="0" w:color="auto"/>
        <w:right w:val="none" w:sz="0" w:space="0" w:color="auto"/>
      </w:divBdr>
    </w:div>
    <w:div w:id="581108968">
      <w:bodyDiv w:val="1"/>
      <w:marLeft w:val="0"/>
      <w:marRight w:val="0"/>
      <w:marTop w:val="0"/>
      <w:marBottom w:val="0"/>
      <w:divBdr>
        <w:top w:val="none" w:sz="0" w:space="0" w:color="auto"/>
        <w:left w:val="none" w:sz="0" w:space="0" w:color="auto"/>
        <w:bottom w:val="none" w:sz="0" w:space="0" w:color="auto"/>
        <w:right w:val="none" w:sz="0" w:space="0" w:color="auto"/>
      </w:divBdr>
    </w:div>
    <w:div w:id="583074870">
      <w:bodyDiv w:val="1"/>
      <w:marLeft w:val="0"/>
      <w:marRight w:val="0"/>
      <w:marTop w:val="0"/>
      <w:marBottom w:val="0"/>
      <w:divBdr>
        <w:top w:val="none" w:sz="0" w:space="0" w:color="auto"/>
        <w:left w:val="none" w:sz="0" w:space="0" w:color="auto"/>
        <w:bottom w:val="none" w:sz="0" w:space="0" w:color="auto"/>
        <w:right w:val="none" w:sz="0" w:space="0" w:color="auto"/>
      </w:divBdr>
    </w:div>
    <w:div w:id="608898402">
      <w:bodyDiv w:val="1"/>
      <w:marLeft w:val="0"/>
      <w:marRight w:val="0"/>
      <w:marTop w:val="0"/>
      <w:marBottom w:val="0"/>
      <w:divBdr>
        <w:top w:val="none" w:sz="0" w:space="0" w:color="auto"/>
        <w:left w:val="none" w:sz="0" w:space="0" w:color="auto"/>
        <w:bottom w:val="none" w:sz="0" w:space="0" w:color="auto"/>
        <w:right w:val="none" w:sz="0" w:space="0" w:color="auto"/>
      </w:divBdr>
      <w:divsChild>
        <w:div w:id="547570680">
          <w:marLeft w:val="994"/>
          <w:marRight w:val="0"/>
          <w:marTop w:val="0"/>
          <w:marBottom w:val="0"/>
          <w:divBdr>
            <w:top w:val="none" w:sz="0" w:space="0" w:color="auto"/>
            <w:left w:val="none" w:sz="0" w:space="0" w:color="auto"/>
            <w:bottom w:val="none" w:sz="0" w:space="0" w:color="auto"/>
            <w:right w:val="none" w:sz="0" w:space="0" w:color="auto"/>
          </w:divBdr>
        </w:div>
        <w:div w:id="1026951770">
          <w:marLeft w:val="994"/>
          <w:marRight w:val="0"/>
          <w:marTop w:val="0"/>
          <w:marBottom w:val="0"/>
          <w:divBdr>
            <w:top w:val="none" w:sz="0" w:space="0" w:color="auto"/>
            <w:left w:val="none" w:sz="0" w:space="0" w:color="auto"/>
            <w:bottom w:val="none" w:sz="0" w:space="0" w:color="auto"/>
            <w:right w:val="none" w:sz="0" w:space="0" w:color="auto"/>
          </w:divBdr>
        </w:div>
        <w:div w:id="1749645897">
          <w:marLeft w:val="994"/>
          <w:marRight w:val="0"/>
          <w:marTop w:val="0"/>
          <w:marBottom w:val="0"/>
          <w:divBdr>
            <w:top w:val="none" w:sz="0" w:space="0" w:color="auto"/>
            <w:left w:val="none" w:sz="0" w:space="0" w:color="auto"/>
            <w:bottom w:val="none" w:sz="0" w:space="0" w:color="auto"/>
            <w:right w:val="none" w:sz="0" w:space="0" w:color="auto"/>
          </w:divBdr>
        </w:div>
        <w:div w:id="1973778788">
          <w:marLeft w:val="994"/>
          <w:marRight w:val="0"/>
          <w:marTop w:val="0"/>
          <w:marBottom w:val="0"/>
          <w:divBdr>
            <w:top w:val="none" w:sz="0" w:space="0" w:color="auto"/>
            <w:left w:val="none" w:sz="0" w:space="0" w:color="auto"/>
            <w:bottom w:val="none" w:sz="0" w:space="0" w:color="auto"/>
            <w:right w:val="none" w:sz="0" w:space="0" w:color="auto"/>
          </w:divBdr>
        </w:div>
        <w:div w:id="1974677824">
          <w:marLeft w:val="994"/>
          <w:marRight w:val="0"/>
          <w:marTop w:val="0"/>
          <w:marBottom w:val="0"/>
          <w:divBdr>
            <w:top w:val="none" w:sz="0" w:space="0" w:color="auto"/>
            <w:left w:val="none" w:sz="0" w:space="0" w:color="auto"/>
            <w:bottom w:val="none" w:sz="0" w:space="0" w:color="auto"/>
            <w:right w:val="none" w:sz="0" w:space="0" w:color="auto"/>
          </w:divBdr>
        </w:div>
        <w:div w:id="2006744615">
          <w:marLeft w:val="994"/>
          <w:marRight w:val="0"/>
          <w:marTop w:val="0"/>
          <w:marBottom w:val="0"/>
          <w:divBdr>
            <w:top w:val="none" w:sz="0" w:space="0" w:color="auto"/>
            <w:left w:val="none" w:sz="0" w:space="0" w:color="auto"/>
            <w:bottom w:val="none" w:sz="0" w:space="0" w:color="auto"/>
            <w:right w:val="none" w:sz="0" w:space="0" w:color="auto"/>
          </w:divBdr>
        </w:div>
        <w:div w:id="2049723451">
          <w:marLeft w:val="994"/>
          <w:marRight w:val="0"/>
          <w:marTop w:val="0"/>
          <w:marBottom w:val="0"/>
          <w:divBdr>
            <w:top w:val="none" w:sz="0" w:space="0" w:color="auto"/>
            <w:left w:val="none" w:sz="0" w:space="0" w:color="auto"/>
            <w:bottom w:val="none" w:sz="0" w:space="0" w:color="auto"/>
            <w:right w:val="none" w:sz="0" w:space="0" w:color="auto"/>
          </w:divBdr>
        </w:div>
      </w:divsChild>
    </w:div>
    <w:div w:id="630132834">
      <w:bodyDiv w:val="1"/>
      <w:marLeft w:val="0"/>
      <w:marRight w:val="0"/>
      <w:marTop w:val="0"/>
      <w:marBottom w:val="0"/>
      <w:divBdr>
        <w:top w:val="none" w:sz="0" w:space="0" w:color="auto"/>
        <w:left w:val="none" w:sz="0" w:space="0" w:color="auto"/>
        <w:bottom w:val="none" w:sz="0" w:space="0" w:color="auto"/>
        <w:right w:val="none" w:sz="0" w:space="0" w:color="auto"/>
      </w:divBdr>
    </w:div>
    <w:div w:id="639112600">
      <w:bodyDiv w:val="1"/>
      <w:marLeft w:val="0"/>
      <w:marRight w:val="0"/>
      <w:marTop w:val="0"/>
      <w:marBottom w:val="0"/>
      <w:divBdr>
        <w:top w:val="none" w:sz="0" w:space="0" w:color="auto"/>
        <w:left w:val="none" w:sz="0" w:space="0" w:color="auto"/>
        <w:bottom w:val="none" w:sz="0" w:space="0" w:color="auto"/>
        <w:right w:val="none" w:sz="0" w:space="0" w:color="auto"/>
      </w:divBdr>
    </w:div>
    <w:div w:id="640188349">
      <w:bodyDiv w:val="1"/>
      <w:marLeft w:val="0"/>
      <w:marRight w:val="0"/>
      <w:marTop w:val="0"/>
      <w:marBottom w:val="0"/>
      <w:divBdr>
        <w:top w:val="none" w:sz="0" w:space="0" w:color="auto"/>
        <w:left w:val="none" w:sz="0" w:space="0" w:color="auto"/>
        <w:bottom w:val="none" w:sz="0" w:space="0" w:color="auto"/>
        <w:right w:val="none" w:sz="0" w:space="0" w:color="auto"/>
      </w:divBdr>
    </w:div>
    <w:div w:id="642000903">
      <w:bodyDiv w:val="1"/>
      <w:marLeft w:val="0"/>
      <w:marRight w:val="0"/>
      <w:marTop w:val="0"/>
      <w:marBottom w:val="0"/>
      <w:divBdr>
        <w:top w:val="none" w:sz="0" w:space="0" w:color="auto"/>
        <w:left w:val="none" w:sz="0" w:space="0" w:color="auto"/>
        <w:bottom w:val="none" w:sz="0" w:space="0" w:color="auto"/>
        <w:right w:val="none" w:sz="0" w:space="0" w:color="auto"/>
      </w:divBdr>
      <w:divsChild>
        <w:div w:id="656152635">
          <w:marLeft w:val="274"/>
          <w:marRight w:val="0"/>
          <w:marTop w:val="0"/>
          <w:marBottom w:val="0"/>
          <w:divBdr>
            <w:top w:val="none" w:sz="0" w:space="0" w:color="auto"/>
            <w:left w:val="none" w:sz="0" w:space="0" w:color="auto"/>
            <w:bottom w:val="none" w:sz="0" w:space="0" w:color="auto"/>
            <w:right w:val="none" w:sz="0" w:space="0" w:color="auto"/>
          </w:divBdr>
        </w:div>
        <w:div w:id="862868305">
          <w:marLeft w:val="274"/>
          <w:marRight w:val="0"/>
          <w:marTop w:val="0"/>
          <w:marBottom w:val="0"/>
          <w:divBdr>
            <w:top w:val="none" w:sz="0" w:space="0" w:color="auto"/>
            <w:left w:val="none" w:sz="0" w:space="0" w:color="auto"/>
            <w:bottom w:val="none" w:sz="0" w:space="0" w:color="auto"/>
            <w:right w:val="none" w:sz="0" w:space="0" w:color="auto"/>
          </w:divBdr>
        </w:div>
        <w:div w:id="1879050806">
          <w:marLeft w:val="274"/>
          <w:marRight w:val="0"/>
          <w:marTop w:val="0"/>
          <w:marBottom w:val="0"/>
          <w:divBdr>
            <w:top w:val="none" w:sz="0" w:space="0" w:color="auto"/>
            <w:left w:val="none" w:sz="0" w:space="0" w:color="auto"/>
            <w:bottom w:val="none" w:sz="0" w:space="0" w:color="auto"/>
            <w:right w:val="none" w:sz="0" w:space="0" w:color="auto"/>
          </w:divBdr>
        </w:div>
      </w:divsChild>
    </w:div>
    <w:div w:id="644505064">
      <w:bodyDiv w:val="1"/>
      <w:marLeft w:val="0"/>
      <w:marRight w:val="0"/>
      <w:marTop w:val="0"/>
      <w:marBottom w:val="0"/>
      <w:divBdr>
        <w:top w:val="none" w:sz="0" w:space="0" w:color="auto"/>
        <w:left w:val="none" w:sz="0" w:space="0" w:color="auto"/>
        <w:bottom w:val="none" w:sz="0" w:space="0" w:color="auto"/>
        <w:right w:val="none" w:sz="0" w:space="0" w:color="auto"/>
      </w:divBdr>
    </w:div>
    <w:div w:id="662052120">
      <w:bodyDiv w:val="1"/>
      <w:marLeft w:val="0"/>
      <w:marRight w:val="0"/>
      <w:marTop w:val="0"/>
      <w:marBottom w:val="0"/>
      <w:divBdr>
        <w:top w:val="none" w:sz="0" w:space="0" w:color="auto"/>
        <w:left w:val="none" w:sz="0" w:space="0" w:color="auto"/>
        <w:bottom w:val="none" w:sz="0" w:space="0" w:color="auto"/>
        <w:right w:val="none" w:sz="0" w:space="0" w:color="auto"/>
      </w:divBdr>
    </w:div>
    <w:div w:id="667290535">
      <w:bodyDiv w:val="1"/>
      <w:marLeft w:val="0"/>
      <w:marRight w:val="0"/>
      <w:marTop w:val="0"/>
      <w:marBottom w:val="0"/>
      <w:divBdr>
        <w:top w:val="none" w:sz="0" w:space="0" w:color="auto"/>
        <w:left w:val="none" w:sz="0" w:space="0" w:color="auto"/>
        <w:bottom w:val="none" w:sz="0" w:space="0" w:color="auto"/>
        <w:right w:val="none" w:sz="0" w:space="0" w:color="auto"/>
      </w:divBdr>
    </w:div>
    <w:div w:id="673723929">
      <w:bodyDiv w:val="1"/>
      <w:marLeft w:val="0"/>
      <w:marRight w:val="0"/>
      <w:marTop w:val="0"/>
      <w:marBottom w:val="0"/>
      <w:divBdr>
        <w:top w:val="none" w:sz="0" w:space="0" w:color="auto"/>
        <w:left w:val="none" w:sz="0" w:space="0" w:color="auto"/>
        <w:bottom w:val="none" w:sz="0" w:space="0" w:color="auto"/>
        <w:right w:val="none" w:sz="0" w:space="0" w:color="auto"/>
      </w:divBdr>
      <w:divsChild>
        <w:div w:id="919601166">
          <w:marLeft w:val="1109"/>
          <w:marRight w:val="0"/>
          <w:marTop w:val="106"/>
          <w:marBottom w:val="0"/>
          <w:divBdr>
            <w:top w:val="none" w:sz="0" w:space="0" w:color="auto"/>
            <w:left w:val="none" w:sz="0" w:space="0" w:color="auto"/>
            <w:bottom w:val="none" w:sz="0" w:space="0" w:color="auto"/>
            <w:right w:val="none" w:sz="0" w:space="0" w:color="auto"/>
          </w:divBdr>
        </w:div>
      </w:divsChild>
    </w:div>
    <w:div w:id="677394435">
      <w:bodyDiv w:val="1"/>
      <w:marLeft w:val="0"/>
      <w:marRight w:val="0"/>
      <w:marTop w:val="0"/>
      <w:marBottom w:val="0"/>
      <w:divBdr>
        <w:top w:val="none" w:sz="0" w:space="0" w:color="auto"/>
        <w:left w:val="none" w:sz="0" w:space="0" w:color="auto"/>
        <w:bottom w:val="none" w:sz="0" w:space="0" w:color="auto"/>
        <w:right w:val="none" w:sz="0" w:space="0" w:color="auto"/>
      </w:divBdr>
    </w:div>
    <w:div w:id="693385757">
      <w:bodyDiv w:val="1"/>
      <w:marLeft w:val="0"/>
      <w:marRight w:val="0"/>
      <w:marTop w:val="0"/>
      <w:marBottom w:val="0"/>
      <w:divBdr>
        <w:top w:val="none" w:sz="0" w:space="0" w:color="auto"/>
        <w:left w:val="none" w:sz="0" w:space="0" w:color="auto"/>
        <w:bottom w:val="none" w:sz="0" w:space="0" w:color="auto"/>
        <w:right w:val="none" w:sz="0" w:space="0" w:color="auto"/>
      </w:divBdr>
    </w:div>
    <w:div w:id="695038175">
      <w:bodyDiv w:val="1"/>
      <w:marLeft w:val="0"/>
      <w:marRight w:val="0"/>
      <w:marTop w:val="0"/>
      <w:marBottom w:val="0"/>
      <w:divBdr>
        <w:top w:val="none" w:sz="0" w:space="0" w:color="auto"/>
        <w:left w:val="none" w:sz="0" w:space="0" w:color="auto"/>
        <w:bottom w:val="none" w:sz="0" w:space="0" w:color="auto"/>
        <w:right w:val="none" w:sz="0" w:space="0" w:color="auto"/>
      </w:divBdr>
    </w:div>
    <w:div w:id="703098565">
      <w:bodyDiv w:val="1"/>
      <w:marLeft w:val="0"/>
      <w:marRight w:val="0"/>
      <w:marTop w:val="0"/>
      <w:marBottom w:val="0"/>
      <w:divBdr>
        <w:top w:val="none" w:sz="0" w:space="0" w:color="auto"/>
        <w:left w:val="none" w:sz="0" w:space="0" w:color="auto"/>
        <w:bottom w:val="none" w:sz="0" w:space="0" w:color="auto"/>
        <w:right w:val="none" w:sz="0" w:space="0" w:color="auto"/>
      </w:divBdr>
    </w:div>
    <w:div w:id="709304278">
      <w:bodyDiv w:val="1"/>
      <w:marLeft w:val="0"/>
      <w:marRight w:val="0"/>
      <w:marTop w:val="0"/>
      <w:marBottom w:val="0"/>
      <w:divBdr>
        <w:top w:val="none" w:sz="0" w:space="0" w:color="auto"/>
        <w:left w:val="none" w:sz="0" w:space="0" w:color="auto"/>
        <w:bottom w:val="none" w:sz="0" w:space="0" w:color="auto"/>
        <w:right w:val="none" w:sz="0" w:space="0" w:color="auto"/>
      </w:divBdr>
    </w:div>
    <w:div w:id="712921942">
      <w:bodyDiv w:val="1"/>
      <w:marLeft w:val="0"/>
      <w:marRight w:val="0"/>
      <w:marTop w:val="0"/>
      <w:marBottom w:val="0"/>
      <w:divBdr>
        <w:top w:val="none" w:sz="0" w:space="0" w:color="auto"/>
        <w:left w:val="none" w:sz="0" w:space="0" w:color="auto"/>
        <w:bottom w:val="none" w:sz="0" w:space="0" w:color="auto"/>
        <w:right w:val="none" w:sz="0" w:space="0" w:color="auto"/>
      </w:divBdr>
    </w:div>
    <w:div w:id="723680159">
      <w:bodyDiv w:val="1"/>
      <w:marLeft w:val="0"/>
      <w:marRight w:val="0"/>
      <w:marTop w:val="0"/>
      <w:marBottom w:val="0"/>
      <w:divBdr>
        <w:top w:val="none" w:sz="0" w:space="0" w:color="auto"/>
        <w:left w:val="none" w:sz="0" w:space="0" w:color="auto"/>
        <w:bottom w:val="none" w:sz="0" w:space="0" w:color="auto"/>
        <w:right w:val="none" w:sz="0" w:space="0" w:color="auto"/>
      </w:divBdr>
      <w:divsChild>
        <w:div w:id="1199657097">
          <w:marLeft w:val="274"/>
          <w:marRight w:val="0"/>
          <w:marTop w:val="0"/>
          <w:marBottom w:val="0"/>
          <w:divBdr>
            <w:top w:val="none" w:sz="0" w:space="0" w:color="auto"/>
            <w:left w:val="none" w:sz="0" w:space="0" w:color="auto"/>
            <w:bottom w:val="none" w:sz="0" w:space="0" w:color="auto"/>
            <w:right w:val="none" w:sz="0" w:space="0" w:color="auto"/>
          </w:divBdr>
        </w:div>
      </w:divsChild>
    </w:div>
    <w:div w:id="729768743">
      <w:bodyDiv w:val="1"/>
      <w:marLeft w:val="0"/>
      <w:marRight w:val="0"/>
      <w:marTop w:val="0"/>
      <w:marBottom w:val="0"/>
      <w:divBdr>
        <w:top w:val="none" w:sz="0" w:space="0" w:color="auto"/>
        <w:left w:val="none" w:sz="0" w:space="0" w:color="auto"/>
        <w:bottom w:val="none" w:sz="0" w:space="0" w:color="auto"/>
        <w:right w:val="none" w:sz="0" w:space="0" w:color="auto"/>
      </w:divBdr>
    </w:div>
    <w:div w:id="742723994">
      <w:bodyDiv w:val="1"/>
      <w:marLeft w:val="0"/>
      <w:marRight w:val="0"/>
      <w:marTop w:val="0"/>
      <w:marBottom w:val="0"/>
      <w:divBdr>
        <w:top w:val="none" w:sz="0" w:space="0" w:color="auto"/>
        <w:left w:val="none" w:sz="0" w:space="0" w:color="auto"/>
        <w:bottom w:val="none" w:sz="0" w:space="0" w:color="auto"/>
        <w:right w:val="none" w:sz="0" w:space="0" w:color="auto"/>
      </w:divBdr>
    </w:div>
    <w:div w:id="750273794">
      <w:bodyDiv w:val="1"/>
      <w:marLeft w:val="0"/>
      <w:marRight w:val="0"/>
      <w:marTop w:val="0"/>
      <w:marBottom w:val="0"/>
      <w:divBdr>
        <w:top w:val="none" w:sz="0" w:space="0" w:color="auto"/>
        <w:left w:val="none" w:sz="0" w:space="0" w:color="auto"/>
        <w:bottom w:val="none" w:sz="0" w:space="0" w:color="auto"/>
        <w:right w:val="none" w:sz="0" w:space="0" w:color="auto"/>
      </w:divBdr>
      <w:divsChild>
        <w:div w:id="591427497">
          <w:marLeft w:val="446"/>
          <w:marRight w:val="0"/>
          <w:marTop w:val="86"/>
          <w:marBottom w:val="0"/>
          <w:divBdr>
            <w:top w:val="none" w:sz="0" w:space="0" w:color="auto"/>
            <w:left w:val="none" w:sz="0" w:space="0" w:color="auto"/>
            <w:bottom w:val="none" w:sz="0" w:space="0" w:color="auto"/>
            <w:right w:val="none" w:sz="0" w:space="0" w:color="auto"/>
          </w:divBdr>
        </w:div>
      </w:divsChild>
    </w:div>
    <w:div w:id="755324098">
      <w:bodyDiv w:val="1"/>
      <w:marLeft w:val="0"/>
      <w:marRight w:val="0"/>
      <w:marTop w:val="0"/>
      <w:marBottom w:val="0"/>
      <w:divBdr>
        <w:top w:val="none" w:sz="0" w:space="0" w:color="auto"/>
        <w:left w:val="none" w:sz="0" w:space="0" w:color="auto"/>
        <w:bottom w:val="none" w:sz="0" w:space="0" w:color="auto"/>
        <w:right w:val="none" w:sz="0" w:space="0" w:color="auto"/>
      </w:divBdr>
    </w:div>
    <w:div w:id="765078005">
      <w:bodyDiv w:val="1"/>
      <w:marLeft w:val="0"/>
      <w:marRight w:val="0"/>
      <w:marTop w:val="0"/>
      <w:marBottom w:val="0"/>
      <w:divBdr>
        <w:top w:val="none" w:sz="0" w:space="0" w:color="auto"/>
        <w:left w:val="none" w:sz="0" w:space="0" w:color="auto"/>
        <w:bottom w:val="none" w:sz="0" w:space="0" w:color="auto"/>
        <w:right w:val="none" w:sz="0" w:space="0" w:color="auto"/>
      </w:divBdr>
    </w:div>
    <w:div w:id="793251857">
      <w:bodyDiv w:val="1"/>
      <w:marLeft w:val="0"/>
      <w:marRight w:val="0"/>
      <w:marTop w:val="0"/>
      <w:marBottom w:val="0"/>
      <w:divBdr>
        <w:top w:val="none" w:sz="0" w:space="0" w:color="auto"/>
        <w:left w:val="none" w:sz="0" w:space="0" w:color="auto"/>
        <w:bottom w:val="none" w:sz="0" w:space="0" w:color="auto"/>
        <w:right w:val="none" w:sz="0" w:space="0" w:color="auto"/>
      </w:divBdr>
      <w:divsChild>
        <w:div w:id="50733480">
          <w:marLeft w:val="274"/>
          <w:marRight w:val="0"/>
          <w:marTop w:val="0"/>
          <w:marBottom w:val="0"/>
          <w:divBdr>
            <w:top w:val="none" w:sz="0" w:space="0" w:color="auto"/>
            <w:left w:val="none" w:sz="0" w:space="0" w:color="auto"/>
            <w:bottom w:val="none" w:sz="0" w:space="0" w:color="auto"/>
            <w:right w:val="none" w:sz="0" w:space="0" w:color="auto"/>
          </w:divBdr>
        </w:div>
        <w:div w:id="407456491">
          <w:marLeft w:val="274"/>
          <w:marRight w:val="0"/>
          <w:marTop w:val="0"/>
          <w:marBottom w:val="0"/>
          <w:divBdr>
            <w:top w:val="none" w:sz="0" w:space="0" w:color="auto"/>
            <w:left w:val="none" w:sz="0" w:space="0" w:color="auto"/>
            <w:bottom w:val="none" w:sz="0" w:space="0" w:color="auto"/>
            <w:right w:val="none" w:sz="0" w:space="0" w:color="auto"/>
          </w:divBdr>
        </w:div>
        <w:div w:id="2002462973">
          <w:marLeft w:val="274"/>
          <w:marRight w:val="0"/>
          <w:marTop w:val="0"/>
          <w:marBottom w:val="0"/>
          <w:divBdr>
            <w:top w:val="none" w:sz="0" w:space="0" w:color="auto"/>
            <w:left w:val="none" w:sz="0" w:space="0" w:color="auto"/>
            <w:bottom w:val="none" w:sz="0" w:space="0" w:color="auto"/>
            <w:right w:val="none" w:sz="0" w:space="0" w:color="auto"/>
          </w:divBdr>
        </w:div>
      </w:divsChild>
    </w:div>
    <w:div w:id="808402230">
      <w:bodyDiv w:val="1"/>
      <w:marLeft w:val="0"/>
      <w:marRight w:val="0"/>
      <w:marTop w:val="0"/>
      <w:marBottom w:val="0"/>
      <w:divBdr>
        <w:top w:val="none" w:sz="0" w:space="0" w:color="auto"/>
        <w:left w:val="none" w:sz="0" w:space="0" w:color="auto"/>
        <w:bottom w:val="none" w:sz="0" w:space="0" w:color="auto"/>
        <w:right w:val="none" w:sz="0" w:space="0" w:color="auto"/>
      </w:divBdr>
    </w:div>
    <w:div w:id="819343161">
      <w:bodyDiv w:val="1"/>
      <w:marLeft w:val="0"/>
      <w:marRight w:val="0"/>
      <w:marTop w:val="0"/>
      <w:marBottom w:val="0"/>
      <w:divBdr>
        <w:top w:val="none" w:sz="0" w:space="0" w:color="auto"/>
        <w:left w:val="none" w:sz="0" w:space="0" w:color="auto"/>
        <w:bottom w:val="none" w:sz="0" w:space="0" w:color="auto"/>
        <w:right w:val="none" w:sz="0" w:space="0" w:color="auto"/>
      </w:divBdr>
      <w:divsChild>
        <w:div w:id="646520745">
          <w:marLeft w:val="274"/>
          <w:marRight w:val="0"/>
          <w:marTop w:val="0"/>
          <w:marBottom w:val="0"/>
          <w:divBdr>
            <w:top w:val="none" w:sz="0" w:space="0" w:color="auto"/>
            <w:left w:val="none" w:sz="0" w:space="0" w:color="auto"/>
            <w:bottom w:val="none" w:sz="0" w:space="0" w:color="auto"/>
            <w:right w:val="none" w:sz="0" w:space="0" w:color="auto"/>
          </w:divBdr>
        </w:div>
      </w:divsChild>
    </w:div>
    <w:div w:id="830412839">
      <w:bodyDiv w:val="1"/>
      <w:marLeft w:val="0"/>
      <w:marRight w:val="0"/>
      <w:marTop w:val="0"/>
      <w:marBottom w:val="0"/>
      <w:divBdr>
        <w:top w:val="none" w:sz="0" w:space="0" w:color="auto"/>
        <w:left w:val="none" w:sz="0" w:space="0" w:color="auto"/>
        <w:bottom w:val="none" w:sz="0" w:space="0" w:color="auto"/>
        <w:right w:val="none" w:sz="0" w:space="0" w:color="auto"/>
      </w:divBdr>
      <w:divsChild>
        <w:div w:id="310521417">
          <w:marLeft w:val="274"/>
          <w:marRight w:val="0"/>
          <w:marTop w:val="0"/>
          <w:marBottom w:val="0"/>
          <w:divBdr>
            <w:top w:val="none" w:sz="0" w:space="0" w:color="auto"/>
            <w:left w:val="none" w:sz="0" w:space="0" w:color="auto"/>
            <w:bottom w:val="none" w:sz="0" w:space="0" w:color="auto"/>
            <w:right w:val="none" w:sz="0" w:space="0" w:color="auto"/>
          </w:divBdr>
        </w:div>
        <w:div w:id="891190242">
          <w:marLeft w:val="274"/>
          <w:marRight w:val="0"/>
          <w:marTop w:val="0"/>
          <w:marBottom w:val="0"/>
          <w:divBdr>
            <w:top w:val="none" w:sz="0" w:space="0" w:color="auto"/>
            <w:left w:val="none" w:sz="0" w:space="0" w:color="auto"/>
            <w:bottom w:val="none" w:sz="0" w:space="0" w:color="auto"/>
            <w:right w:val="none" w:sz="0" w:space="0" w:color="auto"/>
          </w:divBdr>
        </w:div>
        <w:div w:id="1628269944">
          <w:marLeft w:val="274"/>
          <w:marRight w:val="0"/>
          <w:marTop w:val="0"/>
          <w:marBottom w:val="0"/>
          <w:divBdr>
            <w:top w:val="none" w:sz="0" w:space="0" w:color="auto"/>
            <w:left w:val="none" w:sz="0" w:space="0" w:color="auto"/>
            <w:bottom w:val="none" w:sz="0" w:space="0" w:color="auto"/>
            <w:right w:val="none" w:sz="0" w:space="0" w:color="auto"/>
          </w:divBdr>
        </w:div>
        <w:div w:id="1672367892">
          <w:marLeft w:val="274"/>
          <w:marRight w:val="0"/>
          <w:marTop w:val="0"/>
          <w:marBottom w:val="0"/>
          <w:divBdr>
            <w:top w:val="none" w:sz="0" w:space="0" w:color="auto"/>
            <w:left w:val="none" w:sz="0" w:space="0" w:color="auto"/>
            <w:bottom w:val="none" w:sz="0" w:space="0" w:color="auto"/>
            <w:right w:val="none" w:sz="0" w:space="0" w:color="auto"/>
          </w:divBdr>
        </w:div>
      </w:divsChild>
    </w:div>
    <w:div w:id="836187982">
      <w:bodyDiv w:val="1"/>
      <w:marLeft w:val="0"/>
      <w:marRight w:val="0"/>
      <w:marTop w:val="0"/>
      <w:marBottom w:val="0"/>
      <w:divBdr>
        <w:top w:val="none" w:sz="0" w:space="0" w:color="auto"/>
        <w:left w:val="none" w:sz="0" w:space="0" w:color="auto"/>
        <w:bottom w:val="none" w:sz="0" w:space="0" w:color="auto"/>
        <w:right w:val="none" w:sz="0" w:space="0" w:color="auto"/>
      </w:divBdr>
    </w:div>
    <w:div w:id="84745281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3419452">
      <w:bodyDiv w:val="1"/>
      <w:marLeft w:val="0"/>
      <w:marRight w:val="0"/>
      <w:marTop w:val="0"/>
      <w:marBottom w:val="0"/>
      <w:divBdr>
        <w:top w:val="none" w:sz="0" w:space="0" w:color="auto"/>
        <w:left w:val="none" w:sz="0" w:space="0" w:color="auto"/>
        <w:bottom w:val="none" w:sz="0" w:space="0" w:color="auto"/>
        <w:right w:val="none" w:sz="0" w:space="0" w:color="auto"/>
      </w:divBdr>
    </w:div>
    <w:div w:id="858349317">
      <w:bodyDiv w:val="1"/>
      <w:marLeft w:val="0"/>
      <w:marRight w:val="0"/>
      <w:marTop w:val="0"/>
      <w:marBottom w:val="0"/>
      <w:divBdr>
        <w:top w:val="none" w:sz="0" w:space="0" w:color="auto"/>
        <w:left w:val="none" w:sz="0" w:space="0" w:color="auto"/>
        <w:bottom w:val="none" w:sz="0" w:space="0" w:color="auto"/>
        <w:right w:val="none" w:sz="0" w:space="0" w:color="auto"/>
      </w:divBdr>
    </w:div>
    <w:div w:id="85958617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5503125">
      <w:bodyDiv w:val="1"/>
      <w:marLeft w:val="0"/>
      <w:marRight w:val="0"/>
      <w:marTop w:val="0"/>
      <w:marBottom w:val="0"/>
      <w:divBdr>
        <w:top w:val="none" w:sz="0" w:space="0" w:color="auto"/>
        <w:left w:val="none" w:sz="0" w:space="0" w:color="auto"/>
        <w:bottom w:val="none" w:sz="0" w:space="0" w:color="auto"/>
        <w:right w:val="none" w:sz="0" w:space="0" w:color="auto"/>
      </w:divBdr>
    </w:div>
    <w:div w:id="877470429">
      <w:bodyDiv w:val="1"/>
      <w:marLeft w:val="0"/>
      <w:marRight w:val="0"/>
      <w:marTop w:val="0"/>
      <w:marBottom w:val="0"/>
      <w:divBdr>
        <w:top w:val="none" w:sz="0" w:space="0" w:color="auto"/>
        <w:left w:val="none" w:sz="0" w:space="0" w:color="auto"/>
        <w:bottom w:val="none" w:sz="0" w:space="0" w:color="auto"/>
        <w:right w:val="none" w:sz="0" w:space="0" w:color="auto"/>
      </w:divBdr>
      <w:divsChild>
        <w:div w:id="1102149592">
          <w:marLeft w:val="547"/>
          <w:marRight w:val="0"/>
          <w:marTop w:val="106"/>
          <w:marBottom w:val="0"/>
          <w:divBdr>
            <w:top w:val="none" w:sz="0" w:space="0" w:color="auto"/>
            <w:left w:val="none" w:sz="0" w:space="0" w:color="auto"/>
            <w:bottom w:val="none" w:sz="0" w:space="0" w:color="auto"/>
            <w:right w:val="none" w:sz="0" w:space="0" w:color="auto"/>
          </w:divBdr>
        </w:div>
        <w:div w:id="1403140764">
          <w:marLeft w:val="547"/>
          <w:marRight w:val="0"/>
          <w:marTop w:val="106"/>
          <w:marBottom w:val="0"/>
          <w:divBdr>
            <w:top w:val="none" w:sz="0" w:space="0" w:color="auto"/>
            <w:left w:val="none" w:sz="0" w:space="0" w:color="auto"/>
            <w:bottom w:val="none" w:sz="0" w:space="0" w:color="auto"/>
            <w:right w:val="none" w:sz="0" w:space="0" w:color="auto"/>
          </w:divBdr>
        </w:div>
      </w:divsChild>
    </w:div>
    <w:div w:id="897127253">
      <w:bodyDiv w:val="1"/>
      <w:marLeft w:val="0"/>
      <w:marRight w:val="0"/>
      <w:marTop w:val="0"/>
      <w:marBottom w:val="0"/>
      <w:divBdr>
        <w:top w:val="none" w:sz="0" w:space="0" w:color="auto"/>
        <w:left w:val="none" w:sz="0" w:space="0" w:color="auto"/>
        <w:bottom w:val="none" w:sz="0" w:space="0" w:color="auto"/>
        <w:right w:val="none" w:sz="0" w:space="0" w:color="auto"/>
      </w:divBdr>
      <w:divsChild>
        <w:div w:id="157354133">
          <w:marLeft w:val="274"/>
          <w:marRight w:val="0"/>
          <w:marTop w:val="0"/>
          <w:marBottom w:val="0"/>
          <w:divBdr>
            <w:top w:val="none" w:sz="0" w:space="0" w:color="auto"/>
            <w:left w:val="none" w:sz="0" w:space="0" w:color="auto"/>
            <w:bottom w:val="none" w:sz="0" w:space="0" w:color="auto"/>
            <w:right w:val="none" w:sz="0" w:space="0" w:color="auto"/>
          </w:divBdr>
        </w:div>
      </w:divsChild>
    </w:div>
    <w:div w:id="907574195">
      <w:bodyDiv w:val="1"/>
      <w:marLeft w:val="0"/>
      <w:marRight w:val="0"/>
      <w:marTop w:val="0"/>
      <w:marBottom w:val="0"/>
      <w:divBdr>
        <w:top w:val="none" w:sz="0" w:space="0" w:color="auto"/>
        <w:left w:val="none" w:sz="0" w:space="0" w:color="auto"/>
        <w:bottom w:val="none" w:sz="0" w:space="0" w:color="auto"/>
        <w:right w:val="none" w:sz="0" w:space="0" w:color="auto"/>
      </w:divBdr>
    </w:div>
    <w:div w:id="911045422">
      <w:bodyDiv w:val="1"/>
      <w:marLeft w:val="0"/>
      <w:marRight w:val="0"/>
      <w:marTop w:val="0"/>
      <w:marBottom w:val="0"/>
      <w:divBdr>
        <w:top w:val="none" w:sz="0" w:space="0" w:color="auto"/>
        <w:left w:val="none" w:sz="0" w:space="0" w:color="auto"/>
        <w:bottom w:val="none" w:sz="0" w:space="0" w:color="auto"/>
        <w:right w:val="none" w:sz="0" w:space="0" w:color="auto"/>
      </w:divBdr>
    </w:div>
    <w:div w:id="912659586">
      <w:bodyDiv w:val="1"/>
      <w:marLeft w:val="0"/>
      <w:marRight w:val="0"/>
      <w:marTop w:val="0"/>
      <w:marBottom w:val="0"/>
      <w:divBdr>
        <w:top w:val="none" w:sz="0" w:space="0" w:color="auto"/>
        <w:left w:val="none" w:sz="0" w:space="0" w:color="auto"/>
        <w:bottom w:val="none" w:sz="0" w:space="0" w:color="auto"/>
        <w:right w:val="none" w:sz="0" w:space="0" w:color="auto"/>
      </w:divBdr>
    </w:div>
    <w:div w:id="916942945">
      <w:bodyDiv w:val="1"/>
      <w:marLeft w:val="0"/>
      <w:marRight w:val="0"/>
      <w:marTop w:val="0"/>
      <w:marBottom w:val="0"/>
      <w:divBdr>
        <w:top w:val="none" w:sz="0" w:space="0" w:color="auto"/>
        <w:left w:val="none" w:sz="0" w:space="0" w:color="auto"/>
        <w:bottom w:val="none" w:sz="0" w:space="0" w:color="auto"/>
        <w:right w:val="none" w:sz="0" w:space="0" w:color="auto"/>
      </w:divBdr>
    </w:div>
    <w:div w:id="917635483">
      <w:bodyDiv w:val="1"/>
      <w:marLeft w:val="0"/>
      <w:marRight w:val="0"/>
      <w:marTop w:val="0"/>
      <w:marBottom w:val="0"/>
      <w:divBdr>
        <w:top w:val="none" w:sz="0" w:space="0" w:color="auto"/>
        <w:left w:val="none" w:sz="0" w:space="0" w:color="auto"/>
        <w:bottom w:val="none" w:sz="0" w:space="0" w:color="auto"/>
        <w:right w:val="none" w:sz="0" w:space="0" w:color="auto"/>
      </w:divBdr>
    </w:div>
    <w:div w:id="934365878">
      <w:bodyDiv w:val="1"/>
      <w:marLeft w:val="0"/>
      <w:marRight w:val="0"/>
      <w:marTop w:val="0"/>
      <w:marBottom w:val="0"/>
      <w:divBdr>
        <w:top w:val="none" w:sz="0" w:space="0" w:color="auto"/>
        <w:left w:val="none" w:sz="0" w:space="0" w:color="auto"/>
        <w:bottom w:val="none" w:sz="0" w:space="0" w:color="auto"/>
        <w:right w:val="none" w:sz="0" w:space="0" w:color="auto"/>
      </w:divBdr>
      <w:divsChild>
        <w:div w:id="140075847">
          <w:marLeft w:val="446"/>
          <w:marRight w:val="0"/>
          <w:marTop w:val="86"/>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8607936">
      <w:bodyDiv w:val="1"/>
      <w:marLeft w:val="0"/>
      <w:marRight w:val="0"/>
      <w:marTop w:val="0"/>
      <w:marBottom w:val="0"/>
      <w:divBdr>
        <w:top w:val="none" w:sz="0" w:space="0" w:color="auto"/>
        <w:left w:val="none" w:sz="0" w:space="0" w:color="auto"/>
        <w:bottom w:val="none" w:sz="0" w:space="0" w:color="auto"/>
        <w:right w:val="none" w:sz="0" w:space="0" w:color="auto"/>
      </w:divBdr>
    </w:div>
    <w:div w:id="941763502">
      <w:bodyDiv w:val="1"/>
      <w:marLeft w:val="0"/>
      <w:marRight w:val="0"/>
      <w:marTop w:val="0"/>
      <w:marBottom w:val="0"/>
      <w:divBdr>
        <w:top w:val="none" w:sz="0" w:space="0" w:color="auto"/>
        <w:left w:val="none" w:sz="0" w:space="0" w:color="auto"/>
        <w:bottom w:val="none" w:sz="0" w:space="0" w:color="auto"/>
        <w:right w:val="none" w:sz="0" w:space="0" w:color="auto"/>
      </w:divBdr>
      <w:divsChild>
        <w:div w:id="343635504">
          <w:marLeft w:val="274"/>
          <w:marRight w:val="0"/>
          <w:marTop w:val="0"/>
          <w:marBottom w:val="0"/>
          <w:divBdr>
            <w:top w:val="none" w:sz="0" w:space="0" w:color="auto"/>
            <w:left w:val="none" w:sz="0" w:space="0" w:color="auto"/>
            <w:bottom w:val="none" w:sz="0" w:space="0" w:color="auto"/>
            <w:right w:val="none" w:sz="0" w:space="0" w:color="auto"/>
          </w:divBdr>
        </w:div>
        <w:div w:id="513614741">
          <w:marLeft w:val="274"/>
          <w:marRight w:val="0"/>
          <w:marTop w:val="0"/>
          <w:marBottom w:val="0"/>
          <w:divBdr>
            <w:top w:val="none" w:sz="0" w:space="0" w:color="auto"/>
            <w:left w:val="none" w:sz="0" w:space="0" w:color="auto"/>
            <w:bottom w:val="none" w:sz="0" w:space="0" w:color="auto"/>
            <w:right w:val="none" w:sz="0" w:space="0" w:color="auto"/>
          </w:divBdr>
        </w:div>
        <w:div w:id="840971064">
          <w:marLeft w:val="274"/>
          <w:marRight w:val="0"/>
          <w:marTop w:val="0"/>
          <w:marBottom w:val="0"/>
          <w:divBdr>
            <w:top w:val="none" w:sz="0" w:space="0" w:color="auto"/>
            <w:left w:val="none" w:sz="0" w:space="0" w:color="auto"/>
            <w:bottom w:val="none" w:sz="0" w:space="0" w:color="auto"/>
            <w:right w:val="none" w:sz="0" w:space="0" w:color="auto"/>
          </w:divBdr>
        </w:div>
        <w:div w:id="1033190840">
          <w:marLeft w:val="274"/>
          <w:marRight w:val="0"/>
          <w:marTop w:val="0"/>
          <w:marBottom w:val="0"/>
          <w:divBdr>
            <w:top w:val="none" w:sz="0" w:space="0" w:color="auto"/>
            <w:left w:val="none" w:sz="0" w:space="0" w:color="auto"/>
            <w:bottom w:val="none" w:sz="0" w:space="0" w:color="auto"/>
            <w:right w:val="none" w:sz="0" w:space="0" w:color="auto"/>
          </w:divBdr>
        </w:div>
      </w:divsChild>
    </w:div>
    <w:div w:id="944075463">
      <w:bodyDiv w:val="1"/>
      <w:marLeft w:val="0"/>
      <w:marRight w:val="0"/>
      <w:marTop w:val="0"/>
      <w:marBottom w:val="0"/>
      <w:divBdr>
        <w:top w:val="none" w:sz="0" w:space="0" w:color="auto"/>
        <w:left w:val="none" w:sz="0" w:space="0" w:color="auto"/>
        <w:bottom w:val="none" w:sz="0" w:space="0" w:color="auto"/>
        <w:right w:val="none" w:sz="0" w:space="0" w:color="auto"/>
      </w:divBdr>
    </w:div>
    <w:div w:id="966665389">
      <w:bodyDiv w:val="1"/>
      <w:marLeft w:val="0"/>
      <w:marRight w:val="0"/>
      <w:marTop w:val="0"/>
      <w:marBottom w:val="0"/>
      <w:divBdr>
        <w:top w:val="none" w:sz="0" w:space="0" w:color="auto"/>
        <w:left w:val="none" w:sz="0" w:space="0" w:color="auto"/>
        <w:bottom w:val="none" w:sz="0" w:space="0" w:color="auto"/>
        <w:right w:val="none" w:sz="0" w:space="0" w:color="auto"/>
      </w:divBdr>
    </w:div>
    <w:div w:id="978606680">
      <w:bodyDiv w:val="1"/>
      <w:marLeft w:val="0"/>
      <w:marRight w:val="0"/>
      <w:marTop w:val="0"/>
      <w:marBottom w:val="0"/>
      <w:divBdr>
        <w:top w:val="none" w:sz="0" w:space="0" w:color="auto"/>
        <w:left w:val="none" w:sz="0" w:space="0" w:color="auto"/>
        <w:bottom w:val="none" w:sz="0" w:space="0" w:color="auto"/>
        <w:right w:val="none" w:sz="0" w:space="0" w:color="auto"/>
      </w:divBdr>
    </w:div>
    <w:div w:id="984823220">
      <w:bodyDiv w:val="1"/>
      <w:marLeft w:val="0"/>
      <w:marRight w:val="0"/>
      <w:marTop w:val="0"/>
      <w:marBottom w:val="0"/>
      <w:divBdr>
        <w:top w:val="none" w:sz="0" w:space="0" w:color="auto"/>
        <w:left w:val="none" w:sz="0" w:space="0" w:color="auto"/>
        <w:bottom w:val="none" w:sz="0" w:space="0" w:color="auto"/>
        <w:right w:val="none" w:sz="0" w:space="0" w:color="auto"/>
      </w:divBdr>
      <w:divsChild>
        <w:div w:id="826744363">
          <w:marLeft w:val="274"/>
          <w:marRight w:val="0"/>
          <w:marTop w:val="0"/>
          <w:marBottom w:val="0"/>
          <w:divBdr>
            <w:top w:val="none" w:sz="0" w:space="0" w:color="auto"/>
            <w:left w:val="none" w:sz="0" w:space="0" w:color="auto"/>
            <w:bottom w:val="none" w:sz="0" w:space="0" w:color="auto"/>
            <w:right w:val="none" w:sz="0" w:space="0" w:color="auto"/>
          </w:divBdr>
        </w:div>
        <w:div w:id="835339225">
          <w:marLeft w:val="274"/>
          <w:marRight w:val="0"/>
          <w:marTop w:val="0"/>
          <w:marBottom w:val="0"/>
          <w:divBdr>
            <w:top w:val="none" w:sz="0" w:space="0" w:color="auto"/>
            <w:left w:val="none" w:sz="0" w:space="0" w:color="auto"/>
            <w:bottom w:val="none" w:sz="0" w:space="0" w:color="auto"/>
            <w:right w:val="none" w:sz="0" w:space="0" w:color="auto"/>
          </w:divBdr>
        </w:div>
        <w:div w:id="1098911618">
          <w:marLeft w:val="274"/>
          <w:marRight w:val="0"/>
          <w:marTop w:val="0"/>
          <w:marBottom w:val="0"/>
          <w:divBdr>
            <w:top w:val="none" w:sz="0" w:space="0" w:color="auto"/>
            <w:left w:val="none" w:sz="0" w:space="0" w:color="auto"/>
            <w:bottom w:val="none" w:sz="0" w:space="0" w:color="auto"/>
            <w:right w:val="none" w:sz="0" w:space="0" w:color="auto"/>
          </w:divBdr>
        </w:div>
        <w:div w:id="1361516062">
          <w:marLeft w:val="274"/>
          <w:marRight w:val="0"/>
          <w:marTop w:val="0"/>
          <w:marBottom w:val="0"/>
          <w:divBdr>
            <w:top w:val="none" w:sz="0" w:space="0" w:color="auto"/>
            <w:left w:val="none" w:sz="0" w:space="0" w:color="auto"/>
            <w:bottom w:val="none" w:sz="0" w:space="0" w:color="auto"/>
            <w:right w:val="none" w:sz="0" w:space="0" w:color="auto"/>
          </w:divBdr>
        </w:div>
        <w:div w:id="1858612782">
          <w:marLeft w:val="274"/>
          <w:marRight w:val="0"/>
          <w:marTop w:val="0"/>
          <w:marBottom w:val="0"/>
          <w:divBdr>
            <w:top w:val="none" w:sz="0" w:space="0" w:color="auto"/>
            <w:left w:val="none" w:sz="0" w:space="0" w:color="auto"/>
            <w:bottom w:val="none" w:sz="0" w:space="0" w:color="auto"/>
            <w:right w:val="none" w:sz="0" w:space="0" w:color="auto"/>
          </w:divBdr>
        </w:div>
      </w:divsChild>
    </w:div>
    <w:div w:id="986741322">
      <w:bodyDiv w:val="1"/>
      <w:marLeft w:val="0"/>
      <w:marRight w:val="0"/>
      <w:marTop w:val="0"/>
      <w:marBottom w:val="0"/>
      <w:divBdr>
        <w:top w:val="none" w:sz="0" w:space="0" w:color="auto"/>
        <w:left w:val="none" w:sz="0" w:space="0" w:color="auto"/>
        <w:bottom w:val="none" w:sz="0" w:space="0" w:color="auto"/>
        <w:right w:val="none" w:sz="0" w:space="0" w:color="auto"/>
      </w:divBdr>
    </w:div>
    <w:div w:id="997533879">
      <w:bodyDiv w:val="1"/>
      <w:marLeft w:val="0"/>
      <w:marRight w:val="0"/>
      <w:marTop w:val="0"/>
      <w:marBottom w:val="0"/>
      <w:divBdr>
        <w:top w:val="none" w:sz="0" w:space="0" w:color="auto"/>
        <w:left w:val="none" w:sz="0" w:space="0" w:color="auto"/>
        <w:bottom w:val="none" w:sz="0" w:space="0" w:color="auto"/>
        <w:right w:val="none" w:sz="0" w:space="0" w:color="auto"/>
      </w:divBdr>
    </w:div>
    <w:div w:id="1001396516">
      <w:bodyDiv w:val="1"/>
      <w:marLeft w:val="0"/>
      <w:marRight w:val="0"/>
      <w:marTop w:val="0"/>
      <w:marBottom w:val="0"/>
      <w:divBdr>
        <w:top w:val="none" w:sz="0" w:space="0" w:color="auto"/>
        <w:left w:val="none" w:sz="0" w:space="0" w:color="auto"/>
        <w:bottom w:val="none" w:sz="0" w:space="0" w:color="auto"/>
        <w:right w:val="none" w:sz="0" w:space="0" w:color="auto"/>
      </w:divBdr>
    </w:div>
    <w:div w:id="1014501146">
      <w:bodyDiv w:val="1"/>
      <w:marLeft w:val="0"/>
      <w:marRight w:val="0"/>
      <w:marTop w:val="0"/>
      <w:marBottom w:val="0"/>
      <w:divBdr>
        <w:top w:val="none" w:sz="0" w:space="0" w:color="auto"/>
        <w:left w:val="none" w:sz="0" w:space="0" w:color="auto"/>
        <w:bottom w:val="none" w:sz="0" w:space="0" w:color="auto"/>
        <w:right w:val="none" w:sz="0" w:space="0" w:color="auto"/>
      </w:divBdr>
      <w:divsChild>
        <w:div w:id="130681315">
          <w:marLeft w:val="274"/>
          <w:marRight w:val="0"/>
          <w:marTop w:val="0"/>
          <w:marBottom w:val="0"/>
          <w:divBdr>
            <w:top w:val="none" w:sz="0" w:space="0" w:color="auto"/>
            <w:left w:val="none" w:sz="0" w:space="0" w:color="auto"/>
            <w:bottom w:val="none" w:sz="0" w:space="0" w:color="auto"/>
            <w:right w:val="none" w:sz="0" w:space="0" w:color="auto"/>
          </w:divBdr>
        </w:div>
        <w:div w:id="330763189">
          <w:marLeft w:val="274"/>
          <w:marRight w:val="0"/>
          <w:marTop w:val="0"/>
          <w:marBottom w:val="0"/>
          <w:divBdr>
            <w:top w:val="none" w:sz="0" w:space="0" w:color="auto"/>
            <w:left w:val="none" w:sz="0" w:space="0" w:color="auto"/>
            <w:bottom w:val="none" w:sz="0" w:space="0" w:color="auto"/>
            <w:right w:val="none" w:sz="0" w:space="0" w:color="auto"/>
          </w:divBdr>
        </w:div>
        <w:div w:id="1645740302">
          <w:marLeft w:val="274"/>
          <w:marRight w:val="0"/>
          <w:marTop w:val="0"/>
          <w:marBottom w:val="0"/>
          <w:divBdr>
            <w:top w:val="none" w:sz="0" w:space="0" w:color="auto"/>
            <w:left w:val="none" w:sz="0" w:space="0" w:color="auto"/>
            <w:bottom w:val="none" w:sz="0" w:space="0" w:color="auto"/>
            <w:right w:val="none" w:sz="0" w:space="0" w:color="auto"/>
          </w:divBdr>
        </w:div>
      </w:divsChild>
    </w:div>
    <w:div w:id="1017271456">
      <w:bodyDiv w:val="1"/>
      <w:marLeft w:val="0"/>
      <w:marRight w:val="0"/>
      <w:marTop w:val="0"/>
      <w:marBottom w:val="0"/>
      <w:divBdr>
        <w:top w:val="none" w:sz="0" w:space="0" w:color="auto"/>
        <w:left w:val="none" w:sz="0" w:space="0" w:color="auto"/>
        <w:bottom w:val="none" w:sz="0" w:space="0" w:color="auto"/>
        <w:right w:val="none" w:sz="0" w:space="0" w:color="auto"/>
      </w:divBdr>
    </w:div>
    <w:div w:id="1021127815">
      <w:bodyDiv w:val="1"/>
      <w:marLeft w:val="0"/>
      <w:marRight w:val="0"/>
      <w:marTop w:val="0"/>
      <w:marBottom w:val="0"/>
      <w:divBdr>
        <w:top w:val="none" w:sz="0" w:space="0" w:color="auto"/>
        <w:left w:val="none" w:sz="0" w:space="0" w:color="auto"/>
        <w:bottom w:val="none" w:sz="0" w:space="0" w:color="auto"/>
        <w:right w:val="none" w:sz="0" w:space="0" w:color="auto"/>
      </w:divBdr>
    </w:div>
    <w:div w:id="1024136370">
      <w:bodyDiv w:val="1"/>
      <w:marLeft w:val="0"/>
      <w:marRight w:val="0"/>
      <w:marTop w:val="0"/>
      <w:marBottom w:val="0"/>
      <w:divBdr>
        <w:top w:val="none" w:sz="0" w:space="0" w:color="auto"/>
        <w:left w:val="none" w:sz="0" w:space="0" w:color="auto"/>
        <w:bottom w:val="none" w:sz="0" w:space="0" w:color="auto"/>
        <w:right w:val="none" w:sz="0" w:space="0" w:color="auto"/>
      </w:divBdr>
    </w:div>
    <w:div w:id="1024943271">
      <w:bodyDiv w:val="1"/>
      <w:marLeft w:val="0"/>
      <w:marRight w:val="0"/>
      <w:marTop w:val="0"/>
      <w:marBottom w:val="0"/>
      <w:divBdr>
        <w:top w:val="none" w:sz="0" w:space="0" w:color="auto"/>
        <w:left w:val="none" w:sz="0" w:space="0" w:color="auto"/>
        <w:bottom w:val="none" w:sz="0" w:space="0" w:color="auto"/>
        <w:right w:val="none" w:sz="0" w:space="0" w:color="auto"/>
      </w:divBdr>
    </w:div>
    <w:div w:id="1036201323">
      <w:bodyDiv w:val="1"/>
      <w:marLeft w:val="0"/>
      <w:marRight w:val="0"/>
      <w:marTop w:val="0"/>
      <w:marBottom w:val="0"/>
      <w:divBdr>
        <w:top w:val="none" w:sz="0" w:space="0" w:color="auto"/>
        <w:left w:val="none" w:sz="0" w:space="0" w:color="auto"/>
        <w:bottom w:val="none" w:sz="0" w:space="0" w:color="auto"/>
        <w:right w:val="none" w:sz="0" w:space="0" w:color="auto"/>
      </w:divBdr>
    </w:div>
    <w:div w:id="1038965809">
      <w:bodyDiv w:val="1"/>
      <w:marLeft w:val="0"/>
      <w:marRight w:val="0"/>
      <w:marTop w:val="0"/>
      <w:marBottom w:val="0"/>
      <w:divBdr>
        <w:top w:val="none" w:sz="0" w:space="0" w:color="auto"/>
        <w:left w:val="none" w:sz="0" w:space="0" w:color="auto"/>
        <w:bottom w:val="none" w:sz="0" w:space="0" w:color="auto"/>
        <w:right w:val="none" w:sz="0" w:space="0" w:color="auto"/>
      </w:divBdr>
      <w:divsChild>
        <w:div w:id="30999436">
          <w:marLeft w:val="274"/>
          <w:marRight w:val="0"/>
          <w:marTop w:val="0"/>
          <w:marBottom w:val="0"/>
          <w:divBdr>
            <w:top w:val="none" w:sz="0" w:space="0" w:color="auto"/>
            <w:left w:val="none" w:sz="0" w:space="0" w:color="auto"/>
            <w:bottom w:val="none" w:sz="0" w:space="0" w:color="auto"/>
            <w:right w:val="none" w:sz="0" w:space="0" w:color="auto"/>
          </w:divBdr>
        </w:div>
        <w:div w:id="642928098">
          <w:marLeft w:val="274"/>
          <w:marRight w:val="0"/>
          <w:marTop w:val="0"/>
          <w:marBottom w:val="0"/>
          <w:divBdr>
            <w:top w:val="none" w:sz="0" w:space="0" w:color="auto"/>
            <w:left w:val="none" w:sz="0" w:space="0" w:color="auto"/>
            <w:bottom w:val="none" w:sz="0" w:space="0" w:color="auto"/>
            <w:right w:val="none" w:sz="0" w:space="0" w:color="auto"/>
          </w:divBdr>
        </w:div>
        <w:div w:id="657269097">
          <w:marLeft w:val="274"/>
          <w:marRight w:val="0"/>
          <w:marTop w:val="0"/>
          <w:marBottom w:val="0"/>
          <w:divBdr>
            <w:top w:val="none" w:sz="0" w:space="0" w:color="auto"/>
            <w:left w:val="none" w:sz="0" w:space="0" w:color="auto"/>
            <w:bottom w:val="none" w:sz="0" w:space="0" w:color="auto"/>
            <w:right w:val="none" w:sz="0" w:space="0" w:color="auto"/>
          </w:divBdr>
        </w:div>
        <w:div w:id="1474177833">
          <w:marLeft w:val="274"/>
          <w:marRight w:val="0"/>
          <w:marTop w:val="0"/>
          <w:marBottom w:val="0"/>
          <w:divBdr>
            <w:top w:val="none" w:sz="0" w:space="0" w:color="auto"/>
            <w:left w:val="none" w:sz="0" w:space="0" w:color="auto"/>
            <w:bottom w:val="none" w:sz="0" w:space="0" w:color="auto"/>
            <w:right w:val="none" w:sz="0" w:space="0" w:color="auto"/>
          </w:divBdr>
        </w:div>
        <w:div w:id="1687291278">
          <w:marLeft w:val="274"/>
          <w:marRight w:val="0"/>
          <w:marTop w:val="0"/>
          <w:marBottom w:val="0"/>
          <w:divBdr>
            <w:top w:val="none" w:sz="0" w:space="0" w:color="auto"/>
            <w:left w:val="none" w:sz="0" w:space="0" w:color="auto"/>
            <w:bottom w:val="none" w:sz="0" w:space="0" w:color="auto"/>
            <w:right w:val="none" w:sz="0" w:space="0" w:color="auto"/>
          </w:divBdr>
        </w:div>
        <w:div w:id="1944725436">
          <w:marLeft w:val="274"/>
          <w:marRight w:val="0"/>
          <w:marTop w:val="0"/>
          <w:marBottom w:val="0"/>
          <w:divBdr>
            <w:top w:val="none" w:sz="0" w:space="0" w:color="auto"/>
            <w:left w:val="none" w:sz="0" w:space="0" w:color="auto"/>
            <w:bottom w:val="none" w:sz="0" w:space="0" w:color="auto"/>
            <w:right w:val="none" w:sz="0" w:space="0" w:color="auto"/>
          </w:divBdr>
        </w:div>
        <w:div w:id="2052996172">
          <w:marLeft w:val="274"/>
          <w:marRight w:val="0"/>
          <w:marTop w:val="0"/>
          <w:marBottom w:val="0"/>
          <w:divBdr>
            <w:top w:val="none" w:sz="0" w:space="0" w:color="auto"/>
            <w:left w:val="none" w:sz="0" w:space="0" w:color="auto"/>
            <w:bottom w:val="none" w:sz="0" w:space="0" w:color="auto"/>
            <w:right w:val="none" w:sz="0" w:space="0" w:color="auto"/>
          </w:divBdr>
        </w:div>
      </w:divsChild>
    </w:div>
    <w:div w:id="1040479043">
      <w:bodyDiv w:val="1"/>
      <w:marLeft w:val="0"/>
      <w:marRight w:val="0"/>
      <w:marTop w:val="0"/>
      <w:marBottom w:val="0"/>
      <w:divBdr>
        <w:top w:val="none" w:sz="0" w:space="0" w:color="auto"/>
        <w:left w:val="none" w:sz="0" w:space="0" w:color="auto"/>
        <w:bottom w:val="none" w:sz="0" w:space="0" w:color="auto"/>
        <w:right w:val="none" w:sz="0" w:space="0" w:color="auto"/>
      </w:divBdr>
      <w:divsChild>
        <w:div w:id="369188640">
          <w:marLeft w:val="446"/>
          <w:marRight w:val="0"/>
          <w:marTop w:val="0"/>
          <w:marBottom w:val="0"/>
          <w:divBdr>
            <w:top w:val="none" w:sz="0" w:space="0" w:color="auto"/>
            <w:left w:val="none" w:sz="0" w:space="0" w:color="auto"/>
            <w:bottom w:val="none" w:sz="0" w:space="0" w:color="auto"/>
            <w:right w:val="none" w:sz="0" w:space="0" w:color="auto"/>
          </w:divBdr>
        </w:div>
        <w:div w:id="374546089">
          <w:marLeft w:val="446"/>
          <w:marRight w:val="0"/>
          <w:marTop w:val="0"/>
          <w:marBottom w:val="0"/>
          <w:divBdr>
            <w:top w:val="none" w:sz="0" w:space="0" w:color="auto"/>
            <w:left w:val="none" w:sz="0" w:space="0" w:color="auto"/>
            <w:bottom w:val="none" w:sz="0" w:space="0" w:color="auto"/>
            <w:right w:val="none" w:sz="0" w:space="0" w:color="auto"/>
          </w:divBdr>
        </w:div>
        <w:div w:id="745230441">
          <w:marLeft w:val="446"/>
          <w:marRight w:val="0"/>
          <w:marTop w:val="0"/>
          <w:marBottom w:val="0"/>
          <w:divBdr>
            <w:top w:val="none" w:sz="0" w:space="0" w:color="auto"/>
            <w:left w:val="none" w:sz="0" w:space="0" w:color="auto"/>
            <w:bottom w:val="none" w:sz="0" w:space="0" w:color="auto"/>
            <w:right w:val="none" w:sz="0" w:space="0" w:color="auto"/>
          </w:divBdr>
        </w:div>
        <w:div w:id="1355155629">
          <w:marLeft w:val="446"/>
          <w:marRight w:val="0"/>
          <w:marTop w:val="0"/>
          <w:marBottom w:val="0"/>
          <w:divBdr>
            <w:top w:val="none" w:sz="0" w:space="0" w:color="auto"/>
            <w:left w:val="none" w:sz="0" w:space="0" w:color="auto"/>
            <w:bottom w:val="none" w:sz="0" w:space="0" w:color="auto"/>
            <w:right w:val="none" w:sz="0" w:space="0" w:color="auto"/>
          </w:divBdr>
        </w:div>
        <w:div w:id="1759397671">
          <w:marLeft w:val="446"/>
          <w:marRight w:val="0"/>
          <w:marTop w:val="0"/>
          <w:marBottom w:val="0"/>
          <w:divBdr>
            <w:top w:val="none" w:sz="0" w:space="0" w:color="auto"/>
            <w:left w:val="none" w:sz="0" w:space="0" w:color="auto"/>
            <w:bottom w:val="none" w:sz="0" w:space="0" w:color="auto"/>
            <w:right w:val="none" w:sz="0" w:space="0" w:color="auto"/>
          </w:divBdr>
        </w:div>
        <w:div w:id="1900937706">
          <w:marLeft w:val="446"/>
          <w:marRight w:val="0"/>
          <w:marTop w:val="0"/>
          <w:marBottom w:val="0"/>
          <w:divBdr>
            <w:top w:val="none" w:sz="0" w:space="0" w:color="auto"/>
            <w:left w:val="none" w:sz="0" w:space="0" w:color="auto"/>
            <w:bottom w:val="none" w:sz="0" w:space="0" w:color="auto"/>
            <w:right w:val="none" w:sz="0" w:space="0" w:color="auto"/>
          </w:divBdr>
        </w:div>
      </w:divsChild>
    </w:div>
    <w:div w:id="1040738573">
      <w:bodyDiv w:val="1"/>
      <w:marLeft w:val="0"/>
      <w:marRight w:val="0"/>
      <w:marTop w:val="0"/>
      <w:marBottom w:val="0"/>
      <w:divBdr>
        <w:top w:val="none" w:sz="0" w:space="0" w:color="auto"/>
        <w:left w:val="none" w:sz="0" w:space="0" w:color="auto"/>
        <w:bottom w:val="none" w:sz="0" w:space="0" w:color="auto"/>
        <w:right w:val="none" w:sz="0" w:space="0" w:color="auto"/>
      </w:divBdr>
    </w:div>
    <w:div w:id="1058746548">
      <w:bodyDiv w:val="1"/>
      <w:marLeft w:val="0"/>
      <w:marRight w:val="0"/>
      <w:marTop w:val="0"/>
      <w:marBottom w:val="0"/>
      <w:divBdr>
        <w:top w:val="none" w:sz="0" w:space="0" w:color="auto"/>
        <w:left w:val="none" w:sz="0" w:space="0" w:color="auto"/>
        <w:bottom w:val="none" w:sz="0" w:space="0" w:color="auto"/>
        <w:right w:val="none" w:sz="0" w:space="0" w:color="auto"/>
      </w:divBdr>
    </w:div>
    <w:div w:id="1061058495">
      <w:bodyDiv w:val="1"/>
      <w:marLeft w:val="0"/>
      <w:marRight w:val="0"/>
      <w:marTop w:val="0"/>
      <w:marBottom w:val="0"/>
      <w:divBdr>
        <w:top w:val="none" w:sz="0" w:space="0" w:color="auto"/>
        <w:left w:val="none" w:sz="0" w:space="0" w:color="auto"/>
        <w:bottom w:val="none" w:sz="0" w:space="0" w:color="auto"/>
        <w:right w:val="none" w:sz="0" w:space="0" w:color="auto"/>
      </w:divBdr>
      <w:divsChild>
        <w:div w:id="555242052">
          <w:marLeft w:val="446"/>
          <w:marRight w:val="0"/>
          <w:marTop w:val="0"/>
          <w:marBottom w:val="0"/>
          <w:divBdr>
            <w:top w:val="none" w:sz="0" w:space="0" w:color="auto"/>
            <w:left w:val="none" w:sz="0" w:space="0" w:color="auto"/>
            <w:bottom w:val="none" w:sz="0" w:space="0" w:color="auto"/>
            <w:right w:val="none" w:sz="0" w:space="0" w:color="auto"/>
          </w:divBdr>
        </w:div>
        <w:div w:id="1201631054">
          <w:marLeft w:val="446"/>
          <w:marRight w:val="0"/>
          <w:marTop w:val="0"/>
          <w:marBottom w:val="0"/>
          <w:divBdr>
            <w:top w:val="none" w:sz="0" w:space="0" w:color="auto"/>
            <w:left w:val="none" w:sz="0" w:space="0" w:color="auto"/>
            <w:bottom w:val="none" w:sz="0" w:space="0" w:color="auto"/>
            <w:right w:val="none" w:sz="0" w:space="0" w:color="auto"/>
          </w:divBdr>
        </w:div>
        <w:div w:id="1858887137">
          <w:marLeft w:val="446"/>
          <w:marRight w:val="0"/>
          <w:marTop w:val="0"/>
          <w:marBottom w:val="0"/>
          <w:divBdr>
            <w:top w:val="none" w:sz="0" w:space="0" w:color="auto"/>
            <w:left w:val="none" w:sz="0" w:space="0" w:color="auto"/>
            <w:bottom w:val="none" w:sz="0" w:space="0" w:color="auto"/>
            <w:right w:val="none" w:sz="0" w:space="0" w:color="auto"/>
          </w:divBdr>
        </w:div>
        <w:div w:id="2146502483">
          <w:marLeft w:val="446"/>
          <w:marRight w:val="0"/>
          <w:marTop w:val="0"/>
          <w:marBottom w:val="0"/>
          <w:divBdr>
            <w:top w:val="none" w:sz="0" w:space="0" w:color="auto"/>
            <w:left w:val="none" w:sz="0" w:space="0" w:color="auto"/>
            <w:bottom w:val="none" w:sz="0" w:space="0" w:color="auto"/>
            <w:right w:val="none" w:sz="0" w:space="0" w:color="auto"/>
          </w:divBdr>
        </w:div>
      </w:divsChild>
    </w:div>
    <w:div w:id="1064259423">
      <w:bodyDiv w:val="1"/>
      <w:marLeft w:val="0"/>
      <w:marRight w:val="0"/>
      <w:marTop w:val="0"/>
      <w:marBottom w:val="0"/>
      <w:divBdr>
        <w:top w:val="none" w:sz="0" w:space="0" w:color="auto"/>
        <w:left w:val="none" w:sz="0" w:space="0" w:color="auto"/>
        <w:bottom w:val="none" w:sz="0" w:space="0" w:color="auto"/>
        <w:right w:val="none" w:sz="0" w:space="0" w:color="auto"/>
      </w:divBdr>
    </w:div>
    <w:div w:id="1067534297">
      <w:bodyDiv w:val="1"/>
      <w:marLeft w:val="0"/>
      <w:marRight w:val="0"/>
      <w:marTop w:val="0"/>
      <w:marBottom w:val="0"/>
      <w:divBdr>
        <w:top w:val="none" w:sz="0" w:space="0" w:color="auto"/>
        <w:left w:val="none" w:sz="0" w:space="0" w:color="auto"/>
        <w:bottom w:val="none" w:sz="0" w:space="0" w:color="auto"/>
        <w:right w:val="none" w:sz="0" w:space="0" w:color="auto"/>
      </w:divBdr>
    </w:div>
    <w:div w:id="1075053604">
      <w:bodyDiv w:val="1"/>
      <w:marLeft w:val="0"/>
      <w:marRight w:val="0"/>
      <w:marTop w:val="0"/>
      <w:marBottom w:val="0"/>
      <w:divBdr>
        <w:top w:val="none" w:sz="0" w:space="0" w:color="auto"/>
        <w:left w:val="none" w:sz="0" w:space="0" w:color="auto"/>
        <w:bottom w:val="none" w:sz="0" w:space="0" w:color="auto"/>
        <w:right w:val="none" w:sz="0" w:space="0" w:color="auto"/>
      </w:divBdr>
      <w:divsChild>
        <w:div w:id="953630889">
          <w:marLeft w:val="446"/>
          <w:marRight w:val="0"/>
          <w:marTop w:val="86"/>
          <w:marBottom w:val="0"/>
          <w:divBdr>
            <w:top w:val="none" w:sz="0" w:space="0" w:color="auto"/>
            <w:left w:val="none" w:sz="0" w:space="0" w:color="auto"/>
            <w:bottom w:val="none" w:sz="0" w:space="0" w:color="auto"/>
            <w:right w:val="none" w:sz="0" w:space="0" w:color="auto"/>
          </w:divBdr>
        </w:div>
      </w:divsChild>
    </w:div>
    <w:div w:id="1076787510">
      <w:bodyDiv w:val="1"/>
      <w:marLeft w:val="0"/>
      <w:marRight w:val="0"/>
      <w:marTop w:val="0"/>
      <w:marBottom w:val="0"/>
      <w:divBdr>
        <w:top w:val="none" w:sz="0" w:space="0" w:color="auto"/>
        <w:left w:val="none" w:sz="0" w:space="0" w:color="auto"/>
        <w:bottom w:val="none" w:sz="0" w:space="0" w:color="auto"/>
        <w:right w:val="none" w:sz="0" w:space="0" w:color="auto"/>
      </w:divBdr>
    </w:div>
    <w:div w:id="1090126493">
      <w:bodyDiv w:val="1"/>
      <w:marLeft w:val="0"/>
      <w:marRight w:val="0"/>
      <w:marTop w:val="0"/>
      <w:marBottom w:val="0"/>
      <w:divBdr>
        <w:top w:val="none" w:sz="0" w:space="0" w:color="auto"/>
        <w:left w:val="none" w:sz="0" w:space="0" w:color="auto"/>
        <w:bottom w:val="none" w:sz="0" w:space="0" w:color="auto"/>
        <w:right w:val="none" w:sz="0" w:space="0" w:color="auto"/>
      </w:divBdr>
      <w:divsChild>
        <w:div w:id="841431388">
          <w:marLeft w:val="274"/>
          <w:marRight w:val="0"/>
          <w:marTop w:val="0"/>
          <w:marBottom w:val="0"/>
          <w:divBdr>
            <w:top w:val="none" w:sz="0" w:space="0" w:color="auto"/>
            <w:left w:val="none" w:sz="0" w:space="0" w:color="auto"/>
            <w:bottom w:val="none" w:sz="0" w:space="0" w:color="auto"/>
            <w:right w:val="none" w:sz="0" w:space="0" w:color="auto"/>
          </w:divBdr>
        </w:div>
        <w:div w:id="1405683907">
          <w:marLeft w:val="274"/>
          <w:marRight w:val="0"/>
          <w:marTop w:val="0"/>
          <w:marBottom w:val="0"/>
          <w:divBdr>
            <w:top w:val="none" w:sz="0" w:space="0" w:color="auto"/>
            <w:left w:val="none" w:sz="0" w:space="0" w:color="auto"/>
            <w:bottom w:val="none" w:sz="0" w:space="0" w:color="auto"/>
            <w:right w:val="none" w:sz="0" w:space="0" w:color="auto"/>
          </w:divBdr>
        </w:div>
        <w:div w:id="1594389967">
          <w:marLeft w:val="274"/>
          <w:marRight w:val="0"/>
          <w:marTop w:val="0"/>
          <w:marBottom w:val="0"/>
          <w:divBdr>
            <w:top w:val="none" w:sz="0" w:space="0" w:color="auto"/>
            <w:left w:val="none" w:sz="0" w:space="0" w:color="auto"/>
            <w:bottom w:val="none" w:sz="0" w:space="0" w:color="auto"/>
            <w:right w:val="none" w:sz="0" w:space="0" w:color="auto"/>
          </w:divBdr>
        </w:div>
        <w:div w:id="1951542314">
          <w:marLeft w:val="274"/>
          <w:marRight w:val="0"/>
          <w:marTop w:val="0"/>
          <w:marBottom w:val="0"/>
          <w:divBdr>
            <w:top w:val="none" w:sz="0" w:space="0" w:color="auto"/>
            <w:left w:val="none" w:sz="0" w:space="0" w:color="auto"/>
            <w:bottom w:val="none" w:sz="0" w:space="0" w:color="auto"/>
            <w:right w:val="none" w:sz="0" w:space="0" w:color="auto"/>
          </w:divBdr>
        </w:div>
      </w:divsChild>
    </w:div>
    <w:div w:id="1101529787">
      <w:bodyDiv w:val="1"/>
      <w:marLeft w:val="0"/>
      <w:marRight w:val="0"/>
      <w:marTop w:val="0"/>
      <w:marBottom w:val="0"/>
      <w:divBdr>
        <w:top w:val="none" w:sz="0" w:space="0" w:color="auto"/>
        <w:left w:val="none" w:sz="0" w:space="0" w:color="auto"/>
        <w:bottom w:val="none" w:sz="0" w:space="0" w:color="auto"/>
        <w:right w:val="none" w:sz="0" w:space="0" w:color="auto"/>
      </w:divBdr>
      <w:divsChild>
        <w:div w:id="439616116">
          <w:marLeft w:val="274"/>
          <w:marRight w:val="0"/>
          <w:marTop w:val="0"/>
          <w:marBottom w:val="0"/>
          <w:divBdr>
            <w:top w:val="none" w:sz="0" w:space="0" w:color="auto"/>
            <w:left w:val="none" w:sz="0" w:space="0" w:color="auto"/>
            <w:bottom w:val="none" w:sz="0" w:space="0" w:color="auto"/>
            <w:right w:val="none" w:sz="0" w:space="0" w:color="auto"/>
          </w:divBdr>
        </w:div>
        <w:div w:id="759839721">
          <w:marLeft w:val="274"/>
          <w:marRight w:val="0"/>
          <w:marTop w:val="0"/>
          <w:marBottom w:val="0"/>
          <w:divBdr>
            <w:top w:val="none" w:sz="0" w:space="0" w:color="auto"/>
            <w:left w:val="none" w:sz="0" w:space="0" w:color="auto"/>
            <w:bottom w:val="none" w:sz="0" w:space="0" w:color="auto"/>
            <w:right w:val="none" w:sz="0" w:space="0" w:color="auto"/>
          </w:divBdr>
        </w:div>
        <w:div w:id="935598105">
          <w:marLeft w:val="274"/>
          <w:marRight w:val="0"/>
          <w:marTop w:val="0"/>
          <w:marBottom w:val="0"/>
          <w:divBdr>
            <w:top w:val="none" w:sz="0" w:space="0" w:color="auto"/>
            <w:left w:val="none" w:sz="0" w:space="0" w:color="auto"/>
            <w:bottom w:val="none" w:sz="0" w:space="0" w:color="auto"/>
            <w:right w:val="none" w:sz="0" w:space="0" w:color="auto"/>
          </w:divBdr>
        </w:div>
        <w:div w:id="1286235798">
          <w:marLeft w:val="274"/>
          <w:marRight w:val="0"/>
          <w:marTop w:val="0"/>
          <w:marBottom w:val="0"/>
          <w:divBdr>
            <w:top w:val="none" w:sz="0" w:space="0" w:color="auto"/>
            <w:left w:val="none" w:sz="0" w:space="0" w:color="auto"/>
            <w:bottom w:val="none" w:sz="0" w:space="0" w:color="auto"/>
            <w:right w:val="none" w:sz="0" w:space="0" w:color="auto"/>
          </w:divBdr>
        </w:div>
        <w:div w:id="1460607342">
          <w:marLeft w:val="274"/>
          <w:marRight w:val="0"/>
          <w:marTop w:val="0"/>
          <w:marBottom w:val="0"/>
          <w:divBdr>
            <w:top w:val="none" w:sz="0" w:space="0" w:color="auto"/>
            <w:left w:val="none" w:sz="0" w:space="0" w:color="auto"/>
            <w:bottom w:val="none" w:sz="0" w:space="0" w:color="auto"/>
            <w:right w:val="none" w:sz="0" w:space="0" w:color="auto"/>
          </w:divBdr>
        </w:div>
        <w:div w:id="1709794217">
          <w:marLeft w:val="274"/>
          <w:marRight w:val="0"/>
          <w:marTop w:val="0"/>
          <w:marBottom w:val="0"/>
          <w:divBdr>
            <w:top w:val="none" w:sz="0" w:space="0" w:color="auto"/>
            <w:left w:val="none" w:sz="0" w:space="0" w:color="auto"/>
            <w:bottom w:val="none" w:sz="0" w:space="0" w:color="auto"/>
            <w:right w:val="none" w:sz="0" w:space="0" w:color="auto"/>
          </w:divBdr>
        </w:div>
        <w:div w:id="1711346314">
          <w:marLeft w:val="274"/>
          <w:marRight w:val="0"/>
          <w:marTop w:val="0"/>
          <w:marBottom w:val="0"/>
          <w:divBdr>
            <w:top w:val="none" w:sz="0" w:space="0" w:color="auto"/>
            <w:left w:val="none" w:sz="0" w:space="0" w:color="auto"/>
            <w:bottom w:val="none" w:sz="0" w:space="0" w:color="auto"/>
            <w:right w:val="none" w:sz="0" w:space="0" w:color="auto"/>
          </w:divBdr>
        </w:div>
      </w:divsChild>
    </w:div>
    <w:div w:id="1116948653">
      <w:bodyDiv w:val="1"/>
      <w:marLeft w:val="0"/>
      <w:marRight w:val="0"/>
      <w:marTop w:val="0"/>
      <w:marBottom w:val="0"/>
      <w:divBdr>
        <w:top w:val="none" w:sz="0" w:space="0" w:color="auto"/>
        <w:left w:val="none" w:sz="0" w:space="0" w:color="auto"/>
        <w:bottom w:val="none" w:sz="0" w:space="0" w:color="auto"/>
        <w:right w:val="none" w:sz="0" w:space="0" w:color="auto"/>
      </w:divBdr>
    </w:div>
    <w:div w:id="1129009359">
      <w:bodyDiv w:val="1"/>
      <w:marLeft w:val="0"/>
      <w:marRight w:val="0"/>
      <w:marTop w:val="0"/>
      <w:marBottom w:val="0"/>
      <w:divBdr>
        <w:top w:val="none" w:sz="0" w:space="0" w:color="auto"/>
        <w:left w:val="none" w:sz="0" w:space="0" w:color="auto"/>
        <w:bottom w:val="none" w:sz="0" w:space="0" w:color="auto"/>
        <w:right w:val="none" w:sz="0" w:space="0" w:color="auto"/>
      </w:divBdr>
      <w:divsChild>
        <w:div w:id="1085688881">
          <w:marLeft w:val="1109"/>
          <w:marRight w:val="0"/>
          <w:marTop w:val="106"/>
          <w:marBottom w:val="0"/>
          <w:divBdr>
            <w:top w:val="none" w:sz="0" w:space="0" w:color="auto"/>
            <w:left w:val="none" w:sz="0" w:space="0" w:color="auto"/>
            <w:bottom w:val="none" w:sz="0" w:space="0" w:color="auto"/>
            <w:right w:val="none" w:sz="0" w:space="0" w:color="auto"/>
          </w:divBdr>
        </w:div>
        <w:div w:id="1252159048">
          <w:marLeft w:val="1109"/>
          <w:marRight w:val="0"/>
          <w:marTop w:val="106"/>
          <w:marBottom w:val="0"/>
          <w:divBdr>
            <w:top w:val="none" w:sz="0" w:space="0" w:color="auto"/>
            <w:left w:val="none" w:sz="0" w:space="0" w:color="auto"/>
            <w:bottom w:val="none" w:sz="0" w:space="0" w:color="auto"/>
            <w:right w:val="none" w:sz="0" w:space="0" w:color="auto"/>
          </w:divBdr>
        </w:div>
        <w:div w:id="1624729245">
          <w:marLeft w:val="1109"/>
          <w:marRight w:val="0"/>
          <w:marTop w:val="106"/>
          <w:marBottom w:val="0"/>
          <w:divBdr>
            <w:top w:val="none" w:sz="0" w:space="0" w:color="auto"/>
            <w:left w:val="none" w:sz="0" w:space="0" w:color="auto"/>
            <w:bottom w:val="none" w:sz="0" w:space="0" w:color="auto"/>
            <w:right w:val="none" w:sz="0" w:space="0" w:color="auto"/>
          </w:divBdr>
        </w:div>
        <w:div w:id="1945654019">
          <w:marLeft w:val="1109"/>
          <w:marRight w:val="0"/>
          <w:marTop w:val="106"/>
          <w:marBottom w:val="0"/>
          <w:divBdr>
            <w:top w:val="none" w:sz="0" w:space="0" w:color="auto"/>
            <w:left w:val="none" w:sz="0" w:space="0" w:color="auto"/>
            <w:bottom w:val="none" w:sz="0" w:space="0" w:color="auto"/>
            <w:right w:val="none" w:sz="0" w:space="0" w:color="auto"/>
          </w:divBdr>
        </w:div>
        <w:div w:id="2086297507">
          <w:marLeft w:val="1109"/>
          <w:marRight w:val="0"/>
          <w:marTop w:val="106"/>
          <w:marBottom w:val="0"/>
          <w:divBdr>
            <w:top w:val="none" w:sz="0" w:space="0" w:color="auto"/>
            <w:left w:val="none" w:sz="0" w:space="0" w:color="auto"/>
            <w:bottom w:val="none" w:sz="0" w:space="0" w:color="auto"/>
            <w:right w:val="none" w:sz="0" w:space="0" w:color="auto"/>
          </w:divBdr>
        </w:div>
        <w:div w:id="2110194390">
          <w:marLeft w:val="1109"/>
          <w:marRight w:val="0"/>
          <w:marTop w:val="106"/>
          <w:marBottom w:val="0"/>
          <w:divBdr>
            <w:top w:val="none" w:sz="0" w:space="0" w:color="auto"/>
            <w:left w:val="none" w:sz="0" w:space="0" w:color="auto"/>
            <w:bottom w:val="none" w:sz="0" w:space="0" w:color="auto"/>
            <w:right w:val="none" w:sz="0" w:space="0" w:color="auto"/>
          </w:divBdr>
        </w:div>
      </w:divsChild>
    </w:div>
    <w:div w:id="1134786436">
      <w:bodyDiv w:val="1"/>
      <w:marLeft w:val="0"/>
      <w:marRight w:val="0"/>
      <w:marTop w:val="0"/>
      <w:marBottom w:val="0"/>
      <w:divBdr>
        <w:top w:val="none" w:sz="0" w:space="0" w:color="auto"/>
        <w:left w:val="none" w:sz="0" w:space="0" w:color="auto"/>
        <w:bottom w:val="none" w:sz="0" w:space="0" w:color="auto"/>
        <w:right w:val="none" w:sz="0" w:space="0" w:color="auto"/>
      </w:divBdr>
    </w:div>
    <w:div w:id="1135876748">
      <w:bodyDiv w:val="1"/>
      <w:marLeft w:val="0"/>
      <w:marRight w:val="0"/>
      <w:marTop w:val="0"/>
      <w:marBottom w:val="0"/>
      <w:divBdr>
        <w:top w:val="none" w:sz="0" w:space="0" w:color="auto"/>
        <w:left w:val="none" w:sz="0" w:space="0" w:color="auto"/>
        <w:bottom w:val="none" w:sz="0" w:space="0" w:color="auto"/>
        <w:right w:val="none" w:sz="0" w:space="0" w:color="auto"/>
      </w:divBdr>
    </w:div>
    <w:div w:id="1138375128">
      <w:bodyDiv w:val="1"/>
      <w:marLeft w:val="0"/>
      <w:marRight w:val="0"/>
      <w:marTop w:val="0"/>
      <w:marBottom w:val="0"/>
      <w:divBdr>
        <w:top w:val="none" w:sz="0" w:space="0" w:color="auto"/>
        <w:left w:val="none" w:sz="0" w:space="0" w:color="auto"/>
        <w:bottom w:val="none" w:sz="0" w:space="0" w:color="auto"/>
        <w:right w:val="none" w:sz="0" w:space="0" w:color="auto"/>
      </w:divBdr>
    </w:div>
    <w:div w:id="1151412348">
      <w:bodyDiv w:val="1"/>
      <w:marLeft w:val="0"/>
      <w:marRight w:val="0"/>
      <w:marTop w:val="0"/>
      <w:marBottom w:val="0"/>
      <w:divBdr>
        <w:top w:val="none" w:sz="0" w:space="0" w:color="auto"/>
        <w:left w:val="none" w:sz="0" w:space="0" w:color="auto"/>
        <w:bottom w:val="none" w:sz="0" w:space="0" w:color="auto"/>
        <w:right w:val="none" w:sz="0" w:space="0" w:color="auto"/>
      </w:divBdr>
      <w:divsChild>
        <w:div w:id="549682944">
          <w:marLeft w:val="274"/>
          <w:marRight w:val="0"/>
          <w:marTop w:val="0"/>
          <w:marBottom w:val="0"/>
          <w:divBdr>
            <w:top w:val="none" w:sz="0" w:space="0" w:color="auto"/>
            <w:left w:val="none" w:sz="0" w:space="0" w:color="auto"/>
            <w:bottom w:val="none" w:sz="0" w:space="0" w:color="auto"/>
            <w:right w:val="none" w:sz="0" w:space="0" w:color="auto"/>
          </w:divBdr>
        </w:div>
        <w:div w:id="802236208">
          <w:marLeft w:val="274"/>
          <w:marRight w:val="0"/>
          <w:marTop w:val="0"/>
          <w:marBottom w:val="0"/>
          <w:divBdr>
            <w:top w:val="none" w:sz="0" w:space="0" w:color="auto"/>
            <w:left w:val="none" w:sz="0" w:space="0" w:color="auto"/>
            <w:bottom w:val="none" w:sz="0" w:space="0" w:color="auto"/>
            <w:right w:val="none" w:sz="0" w:space="0" w:color="auto"/>
          </w:divBdr>
        </w:div>
        <w:div w:id="1285039346">
          <w:marLeft w:val="274"/>
          <w:marRight w:val="0"/>
          <w:marTop w:val="0"/>
          <w:marBottom w:val="0"/>
          <w:divBdr>
            <w:top w:val="none" w:sz="0" w:space="0" w:color="auto"/>
            <w:left w:val="none" w:sz="0" w:space="0" w:color="auto"/>
            <w:bottom w:val="none" w:sz="0" w:space="0" w:color="auto"/>
            <w:right w:val="none" w:sz="0" w:space="0" w:color="auto"/>
          </w:divBdr>
        </w:div>
        <w:div w:id="1638338730">
          <w:marLeft w:val="274"/>
          <w:marRight w:val="0"/>
          <w:marTop w:val="0"/>
          <w:marBottom w:val="0"/>
          <w:divBdr>
            <w:top w:val="none" w:sz="0" w:space="0" w:color="auto"/>
            <w:left w:val="none" w:sz="0" w:space="0" w:color="auto"/>
            <w:bottom w:val="none" w:sz="0" w:space="0" w:color="auto"/>
            <w:right w:val="none" w:sz="0" w:space="0" w:color="auto"/>
          </w:divBdr>
        </w:div>
        <w:div w:id="1968117890">
          <w:marLeft w:val="274"/>
          <w:marRight w:val="0"/>
          <w:marTop w:val="0"/>
          <w:marBottom w:val="0"/>
          <w:divBdr>
            <w:top w:val="none" w:sz="0" w:space="0" w:color="auto"/>
            <w:left w:val="none" w:sz="0" w:space="0" w:color="auto"/>
            <w:bottom w:val="none" w:sz="0" w:space="0" w:color="auto"/>
            <w:right w:val="none" w:sz="0" w:space="0" w:color="auto"/>
          </w:divBdr>
        </w:div>
      </w:divsChild>
    </w:div>
    <w:div w:id="1206870189">
      <w:bodyDiv w:val="1"/>
      <w:marLeft w:val="0"/>
      <w:marRight w:val="0"/>
      <w:marTop w:val="0"/>
      <w:marBottom w:val="0"/>
      <w:divBdr>
        <w:top w:val="none" w:sz="0" w:space="0" w:color="auto"/>
        <w:left w:val="none" w:sz="0" w:space="0" w:color="auto"/>
        <w:bottom w:val="none" w:sz="0" w:space="0" w:color="auto"/>
        <w:right w:val="none" w:sz="0" w:space="0" w:color="auto"/>
      </w:divBdr>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
    <w:div w:id="1231650605">
      <w:bodyDiv w:val="1"/>
      <w:marLeft w:val="0"/>
      <w:marRight w:val="0"/>
      <w:marTop w:val="0"/>
      <w:marBottom w:val="0"/>
      <w:divBdr>
        <w:top w:val="none" w:sz="0" w:space="0" w:color="auto"/>
        <w:left w:val="none" w:sz="0" w:space="0" w:color="auto"/>
        <w:bottom w:val="none" w:sz="0" w:space="0" w:color="auto"/>
        <w:right w:val="none" w:sz="0" w:space="0" w:color="auto"/>
      </w:divBdr>
      <w:divsChild>
        <w:div w:id="364791848">
          <w:marLeft w:val="994"/>
          <w:marRight w:val="0"/>
          <w:marTop w:val="0"/>
          <w:marBottom w:val="0"/>
          <w:divBdr>
            <w:top w:val="none" w:sz="0" w:space="0" w:color="auto"/>
            <w:left w:val="none" w:sz="0" w:space="0" w:color="auto"/>
            <w:bottom w:val="none" w:sz="0" w:space="0" w:color="auto"/>
            <w:right w:val="none" w:sz="0" w:space="0" w:color="auto"/>
          </w:divBdr>
        </w:div>
        <w:div w:id="747964809">
          <w:marLeft w:val="994"/>
          <w:marRight w:val="0"/>
          <w:marTop w:val="0"/>
          <w:marBottom w:val="0"/>
          <w:divBdr>
            <w:top w:val="none" w:sz="0" w:space="0" w:color="auto"/>
            <w:left w:val="none" w:sz="0" w:space="0" w:color="auto"/>
            <w:bottom w:val="none" w:sz="0" w:space="0" w:color="auto"/>
            <w:right w:val="none" w:sz="0" w:space="0" w:color="auto"/>
          </w:divBdr>
        </w:div>
        <w:div w:id="1751658985">
          <w:marLeft w:val="994"/>
          <w:marRight w:val="0"/>
          <w:marTop w:val="0"/>
          <w:marBottom w:val="0"/>
          <w:divBdr>
            <w:top w:val="none" w:sz="0" w:space="0" w:color="auto"/>
            <w:left w:val="none" w:sz="0" w:space="0" w:color="auto"/>
            <w:bottom w:val="none" w:sz="0" w:space="0" w:color="auto"/>
            <w:right w:val="none" w:sz="0" w:space="0" w:color="auto"/>
          </w:divBdr>
        </w:div>
      </w:divsChild>
    </w:div>
    <w:div w:id="1237394729">
      <w:bodyDiv w:val="1"/>
      <w:marLeft w:val="0"/>
      <w:marRight w:val="0"/>
      <w:marTop w:val="0"/>
      <w:marBottom w:val="0"/>
      <w:divBdr>
        <w:top w:val="none" w:sz="0" w:space="0" w:color="auto"/>
        <w:left w:val="none" w:sz="0" w:space="0" w:color="auto"/>
        <w:bottom w:val="none" w:sz="0" w:space="0" w:color="auto"/>
        <w:right w:val="none" w:sz="0" w:space="0" w:color="auto"/>
      </w:divBdr>
      <w:divsChild>
        <w:div w:id="496463946">
          <w:marLeft w:val="274"/>
          <w:marRight w:val="0"/>
          <w:marTop w:val="0"/>
          <w:marBottom w:val="0"/>
          <w:divBdr>
            <w:top w:val="none" w:sz="0" w:space="0" w:color="auto"/>
            <w:left w:val="none" w:sz="0" w:space="0" w:color="auto"/>
            <w:bottom w:val="none" w:sz="0" w:space="0" w:color="auto"/>
            <w:right w:val="none" w:sz="0" w:space="0" w:color="auto"/>
          </w:divBdr>
        </w:div>
        <w:div w:id="878207396">
          <w:marLeft w:val="274"/>
          <w:marRight w:val="0"/>
          <w:marTop w:val="0"/>
          <w:marBottom w:val="0"/>
          <w:divBdr>
            <w:top w:val="none" w:sz="0" w:space="0" w:color="auto"/>
            <w:left w:val="none" w:sz="0" w:space="0" w:color="auto"/>
            <w:bottom w:val="none" w:sz="0" w:space="0" w:color="auto"/>
            <w:right w:val="none" w:sz="0" w:space="0" w:color="auto"/>
          </w:divBdr>
        </w:div>
        <w:div w:id="1214922590">
          <w:marLeft w:val="274"/>
          <w:marRight w:val="0"/>
          <w:marTop w:val="0"/>
          <w:marBottom w:val="0"/>
          <w:divBdr>
            <w:top w:val="none" w:sz="0" w:space="0" w:color="auto"/>
            <w:left w:val="none" w:sz="0" w:space="0" w:color="auto"/>
            <w:bottom w:val="none" w:sz="0" w:space="0" w:color="auto"/>
            <w:right w:val="none" w:sz="0" w:space="0" w:color="auto"/>
          </w:divBdr>
        </w:div>
        <w:div w:id="1218782292">
          <w:marLeft w:val="274"/>
          <w:marRight w:val="0"/>
          <w:marTop w:val="0"/>
          <w:marBottom w:val="0"/>
          <w:divBdr>
            <w:top w:val="none" w:sz="0" w:space="0" w:color="auto"/>
            <w:left w:val="none" w:sz="0" w:space="0" w:color="auto"/>
            <w:bottom w:val="none" w:sz="0" w:space="0" w:color="auto"/>
            <w:right w:val="none" w:sz="0" w:space="0" w:color="auto"/>
          </w:divBdr>
        </w:div>
      </w:divsChild>
    </w:div>
    <w:div w:id="1238400722">
      <w:bodyDiv w:val="1"/>
      <w:marLeft w:val="0"/>
      <w:marRight w:val="0"/>
      <w:marTop w:val="0"/>
      <w:marBottom w:val="0"/>
      <w:divBdr>
        <w:top w:val="none" w:sz="0" w:space="0" w:color="auto"/>
        <w:left w:val="none" w:sz="0" w:space="0" w:color="auto"/>
        <w:bottom w:val="none" w:sz="0" w:space="0" w:color="auto"/>
        <w:right w:val="none" w:sz="0" w:space="0" w:color="auto"/>
      </w:divBdr>
    </w:div>
    <w:div w:id="1247112713">
      <w:bodyDiv w:val="1"/>
      <w:marLeft w:val="0"/>
      <w:marRight w:val="0"/>
      <w:marTop w:val="0"/>
      <w:marBottom w:val="0"/>
      <w:divBdr>
        <w:top w:val="none" w:sz="0" w:space="0" w:color="auto"/>
        <w:left w:val="none" w:sz="0" w:space="0" w:color="auto"/>
        <w:bottom w:val="none" w:sz="0" w:space="0" w:color="auto"/>
        <w:right w:val="none" w:sz="0" w:space="0" w:color="auto"/>
      </w:divBdr>
    </w:div>
    <w:div w:id="1256742454">
      <w:bodyDiv w:val="1"/>
      <w:marLeft w:val="0"/>
      <w:marRight w:val="0"/>
      <w:marTop w:val="0"/>
      <w:marBottom w:val="0"/>
      <w:divBdr>
        <w:top w:val="none" w:sz="0" w:space="0" w:color="auto"/>
        <w:left w:val="none" w:sz="0" w:space="0" w:color="auto"/>
        <w:bottom w:val="none" w:sz="0" w:space="0" w:color="auto"/>
        <w:right w:val="none" w:sz="0" w:space="0" w:color="auto"/>
      </w:divBdr>
    </w:div>
    <w:div w:id="1261599033">
      <w:bodyDiv w:val="1"/>
      <w:marLeft w:val="0"/>
      <w:marRight w:val="0"/>
      <w:marTop w:val="0"/>
      <w:marBottom w:val="0"/>
      <w:divBdr>
        <w:top w:val="none" w:sz="0" w:space="0" w:color="auto"/>
        <w:left w:val="none" w:sz="0" w:space="0" w:color="auto"/>
        <w:bottom w:val="none" w:sz="0" w:space="0" w:color="auto"/>
        <w:right w:val="none" w:sz="0" w:space="0" w:color="auto"/>
      </w:divBdr>
    </w:div>
    <w:div w:id="1269853086">
      <w:bodyDiv w:val="1"/>
      <w:marLeft w:val="0"/>
      <w:marRight w:val="0"/>
      <w:marTop w:val="0"/>
      <w:marBottom w:val="0"/>
      <w:divBdr>
        <w:top w:val="none" w:sz="0" w:space="0" w:color="auto"/>
        <w:left w:val="none" w:sz="0" w:space="0" w:color="auto"/>
        <w:bottom w:val="none" w:sz="0" w:space="0" w:color="auto"/>
        <w:right w:val="none" w:sz="0" w:space="0" w:color="auto"/>
      </w:divBdr>
    </w:div>
    <w:div w:id="1276136051">
      <w:bodyDiv w:val="1"/>
      <w:marLeft w:val="0"/>
      <w:marRight w:val="0"/>
      <w:marTop w:val="0"/>
      <w:marBottom w:val="0"/>
      <w:divBdr>
        <w:top w:val="none" w:sz="0" w:space="0" w:color="auto"/>
        <w:left w:val="none" w:sz="0" w:space="0" w:color="auto"/>
        <w:bottom w:val="none" w:sz="0" w:space="0" w:color="auto"/>
        <w:right w:val="none" w:sz="0" w:space="0" w:color="auto"/>
      </w:divBdr>
    </w:div>
    <w:div w:id="1294213375">
      <w:bodyDiv w:val="1"/>
      <w:marLeft w:val="0"/>
      <w:marRight w:val="0"/>
      <w:marTop w:val="0"/>
      <w:marBottom w:val="0"/>
      <w:divBdr>
        <w:top w:val="none" w:sz="0" w:space="0" w:color="auto"/>
        <w:left w:val="none" w:sz="0" w:space="0" w:color="auto"/>
        <w:bottom w:val="none" w:sz="0" w:space="0" w:color="auto"/>
        <w:right w:val="none" w:sz="0" w:space="0" w:color="auto"/>
      </w:divBdr>
    </w:div>
    <w:div w:id="1321886916">
      <w:bodyDiv w:val="1"/>
      <w:marLeft w:val="0"/>
      <w:marRight w:val="0"/>
      <w:marTop w:val="0"/>
      <w:marBottom w:val="0"/>
      <w:divBdr>
        <w:top w:val="none" w:sz="0" w:space="0" w:color="auto"/>
        <w:left w:val="none" w:sz="0" w:space="0" w:color="auto"/>
        <w:bottom w:val="none" w:sz="0" w:space="0" w:color="auto"/>
        <w:right w:val="none" w:sz="0" w:space="0" w:color="auto"/>
      </w:divBdr>
    </w:div>
    <w:div w:id="1323508259">
      <w:bodyDiv w:val="1"/>
      <w:marLeft w:val="0"/>
      <w:marRight w:val="0"/>
      <w:marTop w:val="0"/>
      <w:marBottom w:val="0"/>
      <w:divBdr>
        <w:top w:val="none" w:sz="0" w:space="0" w:color="auto"/>
        <w:left w:val="none" w:sz="0" w:space="0" w:color="auto"/>
        <w:bottom w:val="none" w:sz="0" w:space="0" w:color="auto"/>
        <w:right w:val="none" w:sz="0" w:space="0" w:color="auto"/>
      </w:divBdr>
      <w:divsChild>
        <w:div w:id="173540561">
          <w:marLeft w:val="1109"/>
          <w:marRight w:val="0"/>
          <w:marTop w:val="106"/>
          <w:marBottom w:val="0"/>
          <w:divBdr>
            <w:top w:val="none" w:sz="0" w:space="0" w:color="auto"/>
            <w:left w:val="none" w:sz="0" w:space="0" w:color="auto"/>
            <w:bottom w:val="none" w:sz="0" w:space="0" w:color="auto"/>
            <w:right w:val="none" w:sz="0" w:space="0" w:color="auto"/>
          </w:divBdr>
        </w:div>
      </w:divsChild>
    </w:div>
    <w:div w:id="1331912470">
      <w:bodyDiv w:val="1"/>
      <w:marLeft w:val="0"/>
      <w:marRight w:val="0"/>
      <w:marTop w:val="0"/>
      <w:marBottom w:val="0"/>
      <w:divBdr>
        <w:top w:val="none" w:sz="0" w:space="0" w:color="auto"/>
        <w:left w:val="none" w:sz="0" w:space="0" w:color="auto"/>
        <w:bottom w:val="none" w:sz="0" w:space="0" w:color="auto"/>
        <w:right w:val="none" w:sz="0" w:space="0" w:color="auto"/>
      </w:divBdr>
    </w:div>
    <w:div w:id="1333145184">
      <w:bodyDiv w:val="1"/>
      <w:marLeft w:val="0"/>
      <w:marRight w:val="0"/>
      <w:marTop w:val="0"/>
      <w:marBottom w:val="0"/>
      <w:divBdr>
        <w:top w:val="none" w:sz="0" w:space="0" w:color="auto"/>
        <w:left w:val="none" w:sz="0" w:space="0" w:color="auto"/>
        <w:bottom w:val="none" w:sz="0" w:space="0" w:color="auto"/>
        <w:right w:val="none" w:sz="0" w:space="0" w:color="auto"/>
      </w:divBdr>
    </w:div>
    <w:div w:id="1349410124">
      <w:bodyDiv w:val="1"/>
      <w:marLeft w:val="0"/>
      <w:marRight w:val="0"/>
      <w:marTop w:val="0"/>
      <w:marBottom w:val="0"/>
      <w:divBdr>
        <w:top w:val="none" w:sz="0" w:space="0" w:color="auto"/>
        <w:left w:val="none" w:sz="0" w:space="0" w:color="auto"/>
        <w:bottom w:val="none" w:sz="0" w:space="0" w:color="auto"/>
        <w:right w:val="none" w:sz="0" w:space="0" w:color="auto"/>
      </w:divBdr>
    </w:div>
    <w:div w:id="1351836762">
      <w:bodyDiv w:val="1"/>
      <w:marLeft w:val="0"/>
      <w:marRight w:val="0"/>
      <w:marTop w:val="0"/>
      <w:marBottom w:val="0"/>
      <w:divBdr>
        <w:top w:val="none" w:sz="0" w:space="0" w:color="auto"/>
        <w:left w:val="none" w:sz="0" w:space="0" w:color="auto"/>
        <w:bottom w:val="none" w:sz="0" w:space="0" w:color="auto"/>
        <w:right w:val="none" w:sz="0" w:space="0" w:color="auto"/>
      </w:divBdr>
    </w:div>
    <w:div w:id="1353341549">
      <w:bodyDiv w:val="1"/>
      <w:marLeft w:val="0"/>
      <w:marRight w:val="0"/>
      <w:marTop w:val="0"/>
      <w:marBottom w:val="0"/>
      <w:divBdr>
        <w:top w:val="none" w:sz="0" w:space="0" w:color="auto"/>
        <w:left w:val="none" w:sz="0" w:space="0" w:color="auto"/>
        <w:bottom w:val="none" w:sz="0" w:space="0" w:color="auto"/>
        <w:right w:val="none" w:sz="0" w:space="0" w:color="auto"/>
      </w:divBdr>
    </w:div>
    <w:div w:id="1371765718">
      <w:bodyDiv w:val="1"/>
      <w:marLeft w:val="0"/>
      <w:marRight w:val="0"/>
      <w:marTop w:val="0"/>
      <w:marBottom w:val="0"/>
      <w:divBdr>
        <w:top w:val="none" w:sz="0" w:space="0" w:color="auto"/>
        <w:left w:val="none" w:sz="0" w:space="0" w:color="auto"/>
        <w:bottom w:val="none" w:sz="0" w:space="0" w:color="auto"/>
        <w:right w:val="none" w:sz="0" w:space="0" w:color="auto"/>
      </w:divBdr>
    </w:div>
    <w:div w:id="1392925720">
      <w:bodyDiv w:val="1"/>
      <w:marLeft w:val="0"/>
      <w:marRight w:val="0"/>
      <w:marTop w:val="0"/>
      <w:marBottom w:val="0"/>
      <w:divBdr>
        <w:top w:val="none" w:sz="0" w:space="0" w:color="auto"/>
        <w:left w:val="none" w:sz="0" w:space="0" w:color="auto"/>
        <w:bottom w:val="none" w:sz="0" w:space="0" w:color="auto"/>
        <w:right w:val="none" w:sz="0" w:space="0" w:color="auto"/>
      </w:divBdr>
      <w:divsChild>
        <w:div w:id="1105878582">
          <w:marLeft w:val="446"/>
          <w:marRight w:val="0"/>
          <w:marTop w:val="86"/>
          <w:marBottom w:val="0"/>
          <w:divBdr>
            <w:top w:val="none" w:sz="0" w:space="0" w:color="auto"/>
            <w:left w:val="none" w:sz="0" w:space="0" w:color="auto"/>
            <w:bottom w:val="none" w:sz="0" w:space="0" w:color="auto"/>
            <w:right w:val="none" w:sz="0" w:space="0" w:color="auto"/>
          </w:divBdr>
        </w:div>
      </w:divsChild>
    </w:div>
    <w:div w:id="1397043745">
      <w:bodyDiv w:val="1"/>
      <w:marLeft w:val="0"/>
      <w:marRight w:val="0"/>
      <w:marTop w:val="0"/>
      <w:marBottom w:val="0"/>
      <w:divBdr>
        <w:top w:val="none" w:sz="0" w:space="0" w:color="auto"/>
        <w:left w:val="none" w:sz="0" w:space="0" w:color="auto"/>
        <w:bottom w:val="none" w:sz="0" w:space="0" w:color="auto"/>
        <w:right w:val="none" w:sz="0" w:space="0" w:color="auto"/>
      </w:divBdr>
    </w:div>
    <w:div w:id="1401051396">
      <w:bodyDiv w:val="1"/>
      <w:marLeft w:val="0"/>
      <w:marRight w:val="0"/>
      <w:marTop w:val="0"/>
      <w:marBottom w:val="0"/>
      <w:divBdr>
        <w:top w:val="none" w:sz="0" w:space="0" w:color="auto"/>
        <w:left w:val="none" w:sz="0" w:space="0" w:color="auto"/>
        <w:bottom w:val="none" w:sz="0" w:space="0" w:color="auto"/>
        <w:right w:val="none" w:sz="0" w:space="0" w:color="auto"/>
      </w:divBdr>
    </w:div>
    <w:div w:id="140228708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09495908">
      <w:bodyDiv w:val="1"/>
      <w:marLeft w:val="0"/>
      <w:marRight w:val="0"/>
      <w:marTop w:val="0"/>
      <w:marBottom w:val="0"/>
      <w:divBdr>
        <w:top w:val="none" w:sz="0" w:space="0" w:color="auto"/>
        <w:left w:val="none" w:sz="0" w:space="0" w:color="auto"/>
        <w:bottom w:val="none" w:sz="0" w:space="0" w:color="auto"/>
        <w:right w:val="none" w:sz="0" w:space="0" w:color="auto"/>
      </w:divBdr>
      <w:divsChild>
        <w:div w:id="897128765">
          <w:marLeft w:val="274"/>
          <w:marRight w:val="0"/>
          <w:marTop w:val="0"/>
          <w:marBottom w:val="0"/>
          <w:divBdr>
            <w:top w:val="none" w:sz="0" w:space="0" w:color="auto"/>
            <w:left w:val="none" w:sz="0" w:space="0" w:color="auto"/>
            <w:bottom w:val="none" w:sz="0" w:space="0" w:color="auto"/>
            <w:right w:val="none" w:sz="0" w:space="0" w:color="auto"/>
          </w:divBdr>
        </w:div>
        <w:div w:id="1814328043">
          <w:marLeft w:val="274"/>
          <w:marRight w:val="0"/>
          <w:marTop w:val="0"/>
          <w:marBottom w:val="0"/>
          <w:divBdr>
            <w:top w:val="none" w:sz="0" w:space="0" w:color="auto"/>
            <w:left w:val="none" w:sz="0" w:space="0" w:color="auto"/>
            <w:bottom w:val="none" w:sz="0" w:space="0" w:color="auto"/>
            <w:right w:val="none" w:sz="0" w:space="0" w:color="auto"/>
          </w:divBdr>
        </w:div>
      </w:divsChild>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4625923">
      <w:bodyDiv w:val="1"/>
      <w:marLeft w:val="0"/>
      <w:marRight w:val="0"/>
      <w:marTop w:val="0"/>
      <w:marBottom w:val="0"/>
      <w:divBdr>
        <w:top w:val="none" w:sz="0" w:space="0" w:color="auto"/>
        <w:left w:val="none" w:sz="0" w:space="0" w:color="auto"/>
        <w:bottom w:val="none" w:sz="0" w:space="0" w:color="auto"/>
        <w:right w:val="none" w:sz="0" w:space="0" w:color="auto"/>
      </w:divBdr>
      <w:divsChild>
        <w:div w:id="567374958">
          <w:marLeft w:val="994"/>
          <w:marRight w:val="0"/>
          <w:marTop w:val="0"/>
          <w:marBottom w:val="0"/>
          <w:divBdr>
            <w:top w:val="none" w:sz="0" w:space="0" w:color="auto"/>
            <w:left w:val="none" w:sz="0" w:space="0" w:color="auto"/>
            <w:bottom w:val="none" w:sz="0" w:space="0" w:color="auto"/>
            <w:right w:val="none" w:sz="0" w:space="0" w:color="auto"/>
          </w:divBdr>
        </w:div>
      </w:divsChild>
    </w:div>
    <w:div w:id="1433166481">
      <w:bodyDiv w:val="1"/>
      <w:marLeft w:val="0"/>
      <w:marRight w:val="0"/>
      <w:marTop w:val="0"/>
      <w:marBottom w:val="0"/>
      <w:divBdr>
        <w:top w:val="none" w:sz="0" w:space="0" w:color="auto"/>
        <w:left w:val="none" w:sz="0" w:space="0" w:color="auto"/>
        <w:bottom w:val="none" w:sz="0" w:space="0" w:color="auto"/>
        <w:right w:val="none" w:sz="0" w:space="0" w:color="auto"/>
      </w:divBdr>
      <w:divsChild>
        <w:div w:id="99186134">
          <w:marLeft w:val="274"/>
          <w:marRight w:val="0"/>
          <w:marTop w:val="0"/>
          <w:marBottom w:val="0"/>
          <w:divBdr>
            <w:top w:val="none" w:sz="0" w:space="0" w:color="auto"/>
            <w:left w:val="none" w:sz="0" w:space="0" w:color="auto"/>
            <w:bottom w:val="none" w:sz="0" w:space="0" w:color="auto"/>
            <w:right w:val="none" w:sz="0" w:space="0" w:color="auto"/>
          </w:divBdr>
        </w:div>
        <w:div w:id="459686360">
          <w:marLeft w:val="274"/>
          <w:marRight w:val="0"/>
          <w:marTop w:val="0"/>
          <w:marBottom w:val="0"/>
          <w:divBdr>
            <w:top w:val="none" w:sz="0" w:space="0" w:color="auto"/>
            <w:left w:val="none" w:sz="0" w:space="0" w:color="auto"/>
            <w:bottom w:val="none" w:sz="0" w:space="0" w:color="auto"/>
            <w:right w:val="none" w:sz="0" w:space="0" w:color="auto"/>
          </w:divBdr>
        </w:div>
        <w:div w:id="1045909789">
          <w:marLeft w:val="274"/>
          <w:marRight w:val="0"/>
          <w:marTop w:val="0"/>
          <w:marBottom w:val="0"/>
          <w:divBdr>
            <w:top w:val="none" w:sz="0" w:space="0" w:color="auto"/>
            <w:left w:val="none" w:sz="0" w:space="0" w:color="auto"/>
            <w:bottom w:val="none" w:sz="0" w:space="0" w:color="auto"/>
            <w:right w:val="none" w:sz="0" w:space="0" w:color="auto"/>
          </w:divBdr>
        </w:div>
        <w:div w:id="1303997185">
          <w:marLeft w:val="274"/>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102747">
      <w:bodyDiv w:val="1"/>
      <w:marLeft w:val="0"/>
      <w:marRight w:val="0"/>
      <w:marTop w:val="0"/>
      <w:marBottom w:val="0"/>
      <w:divBdr>
        <w:top w:val="none" w:sz="0" w:space="0" w:color="auto"/>
        <w:left w:val="none" w:sz="0" w:space="0" w:color="auto"/>
        <w:bottom w:val="none" w:sz="0" w:space="0" w:color="auto"/>
        <w:right w:val="none" w:sz="0" w:space="0" w:color="auto"/>
      </w:divBdr>
    </w:div>
    <w:div w:id="1462502026">
      <w:bodyDiv w:val="1"/>
      <w:marLeft w:val="0"/>
      <w:marRight w:val="0"/>
      <w:marTop w:val="0"/>
      <w:marBottom w:val="0"/>
      <w:divBdr>
        <w:top w:val="none" w:sz="0" w:space="0" w:color="auto"/>
        <w:left w:val="none" w:sz="0" w:space="0" w:color="auto"/>
        <w:bottom w:val="none" w:sz="0" w:space="0" w:color="auto"/>
        <w:right w:val="none" w:sz="0" w:space="0" w:color="auto"/>
      </w:divBdr>
    </w:div>
    <w:div w:id="1482306452">
      <w:bodyDiv w:val="1"/>
      <w:marLeft w:val="0"/>
      <w:marRight w:val="0"/>
      <w:marTop w:val="0"/>
      <w:marBottom w:val="0"/>
      <w:divBdr>
        <w:top w:val="none" w:sz="0" w:space="0" w:color="auto"/>
        <w:left w:val="none" w:sz="0" w:space="0" w:color="auto"/>
        <w:bottom w:val="none" w:sz="0" w:space="0" w:color="auto"/>
        <w:right w:val="none" w:sz="0" w:space="0" w:color="auto"/>
      </w:divBdr>
    </w:div>
    <w:div w:id="148847825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949186">
      <w:bodyDiv w:val="1"/>
      <w:marLeft w:val="0"/>
      <w:marRight w:val="0"/>
      <w:marTop w:val="0"/>
      <w:marBottom w:val="0"/>
      <w:divBdr>
        <w:top w:val="none" w:sz="0" w:space="0" w:color="auto"/>
        <w:left w:val="none" w:sz="0" w:space="0" w:color="auto"/>
        <w:bottom w:val="none" w:sz="0" w:space="0" w:color="auto"/>
        <w:right w:val="none" w:sz="0" w:space="0" w:color="auto"/>
      </w:divBdr>
    </w:div>
    <w:div w:id="1496651164">
      <w:bodyDiv w:val="1"/>
      <w:marLeft w:val="0"/>
      <w:marRight w:val="0"/>
      <w:marTop w:val="0"/>
      <w:marBottom w:val="0"/>
      <w:divBdr>
        <w:top w:val="none" w:sz="0" w:space="0" w:color="auto"/>
        <w:left w:val="none" w:sz="0" w:space="0" w:color="auto"/>
        <w:bottom w:val="none" w:sz="0" w:space="0" w:color="auto"/>
        <w:right w:val="none" w:sz="0" w:space="0" w:color="auto"/>
      </w:divBdr>
      <w:divsChild>
        <w:div w:id="657808613">
          <w:marLeft w:val="274"/>
          <w:marRight w:val="0"/>
          <w:marTop w:val="0"/>
          <w:marBottom w:val="0"/>
          <w:divBdr>
            <w:top w:val="none" w:sz="0" w:space="0" w:color="auto"/>
            <w:left w:val="none" w:sz="0" w:space="0" w:color="auto"/>
            <w:bottom w:val="none" w:sz="0" w:space="0" w:color="auto"/>
            <w:right w:val="none" w:sz="0" w:space="0" w:color="auto"/>
          </w:divBdr>
        </w:div>
        <w:div w:id="1395081587">
          <w:marLeft w:val="274"/>
          <w:marRight w:val="0"/>
          <w:marTop w:val="0"/>
          <w:marBottom w:val="0"/>
          <w:divBdr>
            <w:top w:val="none" w:sz="0" w:space="0" w:color="auto"/>
            <w:left w:val="none" w:sz="0" w:space="0" w:color="auto"/>
            <w:bottom w:val="none" w:sz="0" w:space="0" w:color="auto"/>
            <w:right w:val="none" w:sz="0" w:space="0" w:color="auto"/>
          </w:divBdr>
        </w:div>
        <w:div w:id="1506438701">
          <w:marLeft w:val="274"/>
          <w:marRight w:val="0"/>
          <w:marTop w:val="0"/>
          <w:marBottom w:val="0"/>
          <w:divBdr>
            <w:top w:val="none" w:sz="0" w:space="0" w:color="auto"/>
            <w:left w:val="none" w:sz="0" w:space="0" w:color="auto"/>
            <w:bottom w:val="none" w:sz="0" w:space="0" w:color="auto"/>
            <w:right w:val="none" w:sz="0" w:space="0" w:color="auto"/>
          </w:divBdr>
        </w:div>
        <w:div w:id="2120635329">
          <w:marLeft w:val="274"/>
          <w:marRight w:val="0"/>
          <w:marTop w:val="0"/>
          <w:marBottom w:val="0"/>
          <w:divBdr>
            <w:top w:val="none" w:sz="0" w:space="0" w:color="auto"/>
            <w:left w:val="none" w:sz="0" w:space="0" w:color="auto"/>
            <w:bottom w:val="none" w:sz="0" w:space="0" w:color="auto"/>
            <w:right w:val="none" w:sz="0" w:space="0" w:color="auto"/>
          </w:divBdr>
        </w:div>
      </w:divsChild>
    </w:div>
    <w:div w:id="1499077720">
      <w:bodyDiv w:val="1"/>
      <w:marLeft w:val="0"/>
      <w:marRight w:val="0"/>
      <w:marTop w:val="0"/>
      <w:marBottom w:val="0"/>
      <w:divBdr>
        <w:top w:val="none" w:sz="0" w:space="0" w:color="auto"/>
        <w:left w:val="none" w:sz="0" w:space="0" w:color="auto"/>
        <w:bottom w:val="none" w:sz="0" w:space="0" w:color="auto"/>
        <w:right w:val="none" w:sz="0" w:space="0" w:color="auto"/>
      </w:divBdr>
      <w:divsChild>
        <w:div w:id="342365434">
          <w:marLeft w:val="547"/>
          <w:marRight w:val="0"/>
          <w:marTop w:val="106"/>
          <w:marBottom w:val="0"/>
          <w:divBdr>
            <w:top w:val="none" w:sz="0" w:space="0" w:color="auto"/>
            <w:left w:val="none" w:sz="0" w:space="0" w:color="auto"/>
            <w:bottom w:val="none" w:sz="0" w:space="0" w:color="auto"/>
            <w:right w:val="none" w:sz="0" w:space="0" w:color="auto"/>
          </w:divBdr>
        </w:div>
        <w:div w:id="789008911">
          <w:marLeft w:val="547"/>
          <w:marRight w:val="0"/>
          <w:marTop w:val="106"/>
          <w:marBottom w:val="0"/>
          <w:divBdr>
            <w:top w:val="none" w:sz="0" w:space="0" w:color="auto"/>
            <w:left w:val="none" w:sz="0" w:space="0" w:color="auto"/>
            <w:bottom w:val="none" w:sz="0" w:space="0" w:color="auto"/>
            <w:right w:val="none" w:sz="0" w:space="0" w:color="auto"/>
          </w:divBdr>
        </w:div>
        <w:div w:id="1556310348">
          <w:marLeft w:val="547"/>
          <w:marRight w:val="0"/>
          <w:marTop w:val="106"/>
          <w:marBottom w:val="0"/>
          <w:divBdr>
            <w:top w:val="none" w:sz="0" w:space="0" w:color="auto"/>
            <w:left w:val="none" w:sz="0" w:space="0" w:color="auto"/>
            <w:bottom w:val="none" w:sz="0" w:space="0" w:color="auto"/>
            <w:right w:val="none" w:sz="0" w:space="0" w:color="auto"/>
          </w:divBdr>
        </w:div>
      </w:divsChild>
    </w:div>
    <w:div w:id="1500464079">
      <w:bodyDiv w:val="1"/>
      <w:marLeft w:val="0"/>
      <w:marRight w:val="0"/>
      <w:marTop w:val="0"/>
      <w:marBottom w:val="0"/>
      <w:divBdr>
        <w:top w:val="none" w:sz="0" w:space="0" w:color="auto"/>
        <w:left w:val="none" w:sz="0" w:space="0" w:color="auto"/>
        <w:bottom w:val="none" w:sz="0" w:space="0" w:color="auto"/>
        <w:right w:val="none" w:sz="0" w:space="0" w:color="auto"/>
      </w:divBdr>
    </w:div>
    <w:div w:id="1508403513">
      <w:bodyDiv w:val="1"/>
      <w:marLeft w:val="0"/>
      <w:marRight w:val="0"/>
      <w:marTop w:val="0"/>
      <w:marBottom w:val="0"/>
      <w:divBdr>
        <w:top w:val="none" w:sz="0" w:space="0" w:color="auto"/>
        <w:left w:val="none" w:sz="0" w:space="0" w:color="auto"/>
        <w:bottom w:val="none" w:sz="0" w:space="0" w:color="auto"/>
        <w:right w:val="none" w:sz="0" w:space="0" w:color="auto"/>
      </w:divBdr>
    </w:div>
    <w:div w:id="1524631459">
      <w:bodyDiv w:val="1"/>
      <w:marLeft w:val="0"/>
      <w:marRight w:val="0"/>
      <w:marTop w:val="0"/>
      <w:marBottom w:val="0"/>
      <w:divBdr>
        <w:top w:val="none" w:sz="0" w:space="0" w:color="auto"/>
        <w:left w:val="none" w:sz="0" w:space="0" w:color="auto"/>
        <w:bottom w:val="none" w:sz="0" w:space="0" w:color="auto"/>
        <w:right w:val="none" w:sz="0" w:space="0" w:color="auto"/>
      </w:divBdr>
    </w:div>
    <w:div w:id="1530726398">
      <w:bodyDiv w:val="1"/>
      <w:marLeft w:val="0"/>
      <w:marRight w:val="0"/>
      <w:marTop w:val="0"/>
      <w:marBottom w:val="0"/>
      <w:divBdr>
        <w:top w:val="none" w:sz="0" w:space="0" w:color="auto"/>
        <w:left w:val="none" w:sz="0" w:space="0" w:color="auto"/>
        <w:bottom w:val="none" w:sz="0" w:space="0" w:color="auto"/>
        <w:right w:val="none" w:sz="0" w:space="0" w:color="auto"/>
      </w:divBdr>
    </w:div>
    <w:div w:id="1554929338">
      <w:bodyDiv w:val="1"/>
      <w:marLeft w:val="0"/>
      <w:marRight w:val="0"/>
      <w:marTop w:val="0"/>
      <w:marBottom w:val="0"/>
      <w:divBdr>
        <w:top w:val="none" w:sz="0" w:space="0" w:color="auto"/>
        <w:left w:val="none" w:sz="0" w:space="0" w:color="auto"/>
        <w:bottom w:val="none" w:sz="0" w:space="0" w:color="auto"/>
        <w:right w:val="none" w:sz="0" w:space="0" w:color="auto"/>
      </w:divBdr>
    </w:div>
    <w:div w:id="1567643995">
      <w:bodyDiv w:val="1"/>
      <w:marLeft w:val="0"/>
      <w:marRight w:val="0"/>
      <w:marTop w:val="0"/>
      <w:marBottom w:val="0"/>
      <w:divBdr>
        <w:top w:val="none" w:sz="0" w:space="0" w:color="auto"/>
        <w:left w:val="none" w:sz="0" w:space="0" w:color="auto"/>
        <w:bottom w:val="none" w:sz="0" w:space="0" w:color="auto"/>
        <w:right w:val="none" w:sz="0" w:space="0" w:color="auto"/>
      </w:divBdr>
    </w:div>
    <w:div w:id="158035959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172579">
      <w:bodyDiv w:val="1"/>
      <w:marLeft w:val="0"/>
      <w:marRight w:val="0"/>
      <w:marTop w:val="0"/>
      <w:marBottom w:val="0"/>
      <w:divBdr>
        <w:top w:val="none" w:sz="0" w:space="0" w:color="auto"/>
        <w:left w:val="none" w:sz="0" w:space="0" w:color="auto"/>
        <w:bottom w:val="none" w:sz="0" w:space="0" w:color="auto"/>
        <w:right w:val="none" w:sz="0" w:space="0" w:color="auto"/>
      </w:divBdr>
    </w:div>
    <w:div w:id="1632437407">
      <w:bodyDiv w:val="1"/>
      <w:marLeft w:val="0"/>
      <w:marRight w:val="0"/>
      <w:marTop w:val="0"/>
      <w:marBottom w:val="0"/>
      <w:divBdr>
        <w:top w:val="none" w:sz="0" w:space="0" w:color="auto"/>
        <w:left w:val="none" w:sz="0" w:space="0" w:color="auto"/>
        <w:bottom w:val="none" w:sz="0" w:space="0" w:color="auto"/>
        <w:right w:val="none" w:sz="0" w:space="0" w:color="auto"/>
      </w:divBdr>
    </w:div>
    <w:div w:id="1633898111">
      <w:bodyDiv w:val="1"/>
      <w:marLeft w:val="0"/>
      <w:marRight w:val="0"/>
      <w:marTop w:val="0"/>
      <w:marBottom w:val="0"/>
      <w:divBdr>
        <w:top w:val="none" w:sz="0" w:space="0" w:color="auto"/>
        <w:left w:val="none" w:sz="0" w:space="0" w:color="auto"/>
        <w:bottom w:val="none" w:sz="0" w:space="0" w:color="auto"/>
        <w:right w:val="none" w:sz="0" w:space="0" w:color="auto"/>
      </w:divBdr>
      <w:divsChild>
        <w:div w:id="78603381">
          <w:marLeft w:val="1109"/>
          <w:marRight w:val="0"/>
          <w:marTop w:val="106"/>
          <w:marBottom w:val="0"/>
          <w:divBdr>
            <w:top w:val="none" w:sz="0" w:space="0" w:color="auto"/>
            <w:left w:val="none" w:sz="0" w:space="0" w:color="auto"/>
            <w:bottom w:val="none" w:sz="0" w:space="0" w:color="auto"/>
            <w:right w:val="none" w:sz="0" w:space="0" w:color="auto"/>
          </w:divBdr>
        </w:div>
        <w:div w:id="614992490">
          <w:marLeft w:val="1109"/>
          <w:marRight w:val="0"/>
          <w:marTop w:val="106"/>
          <w:marBottom w:val="0"/>
          <w:divBdr>
            <w:top w:val="none" w:sz="0" w:space="0" w:color="auto"/>
            <w:left w:val="none" w:sz="0" w:space="0" w:color="auto"/>
            <w:bottom w:val="none" w:sz="0" w:space="0" w:color="auto"/>
            <w:right w:val="none" w:sz="0" w:space="0" w:color="auto"/>
          </w:divBdr>
        </w:div>
        <w:div w:id="1797678102">
          <w:marLeft w:val="1109"/>
          <w:marRight w:val="0"/>
          <w:marTop w:val="106"/>
          <w:marBottom w:val="0"/>
          <w:divBdr>
            <w:top w:val="none" w:sz="0" w:space="0" w:color="auto"/>
            <w:left w:val="none" w:sz="0" w:space="0" w:color="auto"/>
            <w:bottom w:val="none" w:sz="0" w:space="0" w:color="auto"/>
            <w:right w:val="none" w:sz="0" w:space="0" w:color="auto"/>
          </w:divBdr>
        </w:div>
        <w:div w:id="1962685540">
          <w:marLeft w:val="1109"/>
          <w:marRight w:val="0"/>
          <w:marTop w:val="106"/>
          <w:marBottom w:val="0"/>
          <w:divBdr>
            <w:top w:val="none" w:sz="0" w:space="0" w:color="auto"/>
            <w:left w:val="none" w:sz="0" w:space="0" w:color="auto"/>
            <w:bottom w:val="none" w:sz="0" w:space="0" w:color="auto"/>
            <w:right w:val="none" w:sz="0" w:space="0" w:color="auto"/>
          </w:divBdr>
        </w:div>
        <w:div w:id="2019890276">
          <w:marLeft w:val="1109"/>
          <w:marRight w:val="0"/>
          <w:marTop w:val="106"/>
          <w:marBottom w:val="0"/>
          <w:divBdr>
            <w:top w:val="none" w:sz="0" w:space="0" w:color="auto"/>
            <w:left w:val="none" w:sz="0" w:space="0" w:color="auto"/>
            <w:bottom w:val="none" w:sz="0" w:space="0" w:color="auto"/>
            <w:right w:val="none" w:sz="0" w:space="0" w:color="auto"/>
          </w:divBdr>
        </w:div>
        <w:div w:id="2029520238">
          <w:marLeft w:val="1109"/>
          <w:marRight w:val="0"/>
          <w:marTop w:val="106"/>
          <w:marBottom w:val="0"/>
          <w:divBdr>
            <w:top w:val="none" w:sz="0" w:space="0" w:color="auto"/>
            <w:left w:val="none" w:sz="0" w:space="0" w:color="auto"/>
            <w:bottom w:val="none" w:sz="0" w:space="0" w:color="auto"/>
            <w:right w:val="none" w:sz="0" w:space="0" w:color="auto"/>
          </w:divBdr>
        </w:div>
      </w:divsChild>
    </w:div>
    <w:div w:id="1642539923">
      <w:bodyDiv w:val="1"/>
      <w:marLeft w:val="0"/>
      <w:marRight w:val="0"/>
      <w:marTop w:val="0"/>
      <w:marBottom w:val="0"/>
      <w:divBdr>
        <w:top w:val="none" w:sz="0" w:space="0" w:color="auto"/>
        <w:left w:val="none" w:sz="0" w:space="0" w:color="auto"/>
        <w:bottom w:val="none" w:sz="0" w:space="0" w:color="auto"/>
        <w:right w:val="none" w:sz="0" w:space="0" w:color="auto"/>
      </w:divBdr>
      <w:divsChild>
        <w:div w:id="929236208">
          <w:marLeft w:val="274"/>
          <w:marRight w:val="0"/>
          <w:marTop w:val="0"/>
          <w:marBottom w:val="0"/>
          <w:divBdr>
            <w:top w:val="none" w:sz="0" w:space="0" w:color="auto"/>
            <w:left w:val="none" w:sz="0" w:space="0" w:color="auto"/>
            <w:bottom w:val="none" w:sz="0" w:space="0" w:color="auto"/>
            <w:right w:val="none" w:sz="0" w:space="0" w:color="auto"/>
          </w:divBdr>
        </w:div>
      </w:divsChild>
    </w:div>
    <w:div w:id="1647050950">
      <w:bodyDiv w:val="1"/>
      <w:marLeft w:val="0"/>
      <w:marRight w:val="0"/>
      <w:marTop w:val="0"/>
      <w:marBottom w:val="0"/>
      <w:divBdr>
        <w:top w:val="none" w:sz="0" w:space="0" w:color="auto"/>
        <w:left w:val="none" w:sz="0" w:space="0" w:color="auto"/>
        <w:bottom w:val="none" w:sz="0" w:space="0" w:color="auto"/>
        <w:right w:val="none" w:sz="0" w:space="0" w:color="auto"/>
      </w:divBdr>
    </w:div>
    <w:div w:id="1648320250">
      <w:bodyDiv w:val="1"/>
      <w:marLeft w:val="0"/>
      <w:marRight w:val="0"/>
      <w:marTop w:val="0"/>
      <w:marBottom w:val="0"/>
      <w:divBdr>
        <w:top w:val="none" w:sz="0" w:space="0" w:color="auto"/>
        <w:left w:val="none" w:sz="0" w:space="0" w:color="auto"/>
        <w:bottom w:val="none" w:sz="0" w:space="0" w:color="auto"/>
        <w:right w:val="none" w:sz="0" w:space="0" w:color="auto"/>
      </w:divBdr>
    </w:div>
    <w:div w:id="1655646734">
      <w:bodyDiv w:val="1"/>
      <w:marLeft w:val="0"/>
      <w:marRight w:val="0"/>
      <w:marTop w:val="0"/>
      <w:marBottom w:val="0"/>
      <w:divBdr>
        <w:top w:val="none" w:sz="0" w:space="0" w:color="auto"/>
        <w:left w:val="none" w:sz="0" w:space="0" w:color="auto"/>
        <w:bottom w:val="none" w:sz="0" w:space="0" w:color="auto"/>
        <w:right w:val="none" w:sz="0" w:space="0" w:color="auto"/>
      </w:divBdr>
    </w:div>
    <w:div w:id="1661738037">
      <w:bodyDiv w:val="1"/>
      <w:marLeft w:val="0"/>
      <w:marRight w:val="0"/>
      <w:marTop w:val="0"/>
      <w:marBottom w:val="0"/>
      <w:divBdr>
        <w:top w:val="none" w:sz="0" w:space="0" w:color="auto"/>
        <w:left w:val="none" w:sz="0" w:space="0" w:color="auto"/>
        <w:bottom w:val="none" w:sz="0" w:space="0" w:color="auto"/>
        <w:right w:val="none" w:sz="0" w:space="0" w:color="auto"/>
      </w:divBdr>
    </w:div>
    <w:div w:id="1670987471">
      <w:bodyDiv w:val="1"/>
      <w:marLeft w:val="0"/>
      <w:marRight w:val="0"/>
      <w:marTop w:val="0"/>
      <w:marBottom w:val="0"/>
      <w:divBdr>
        <w:top w:val="none" w:sz="0" w:space="0" w:color="auto"/>
        <w:left w:val="none" w:sz="0" w:space="0" w:color="auto"/>
        <w:bottom w:val="none" w:sz="0" w:space="0" w:color="auto"/>
        <w:right w:val="none" w:sz="0" w:space="0" w:color="auto"/>
      </w:divBdr>
      <w:divsChild>
        <w:div w:id="1712728143">
          <w:marLeft w:val="446"/>
          <w:marRight w:val="0"/>
          <w:marTop w:val="86"/>
          <w:marBottom w:val="0"/>
          <w:divBdr>
            <w:top w:val="none" w:sz="0" w:space="0" w:color="auto"/>
            <w:left w:val="none" w:sz="0" w:space="0" w:color="auto"/>
            <w:bottom w:val="none" w:sz="0" w:space="0" w:color="auto"/>
            <w:right w:val="none" w:sz="0" w:space="0" w:color="auto"/>
          </w:divBdr>
        </w:div>
      </w:divsChild>
    </w:div>
    <w:div w:id="1684626725">
      <w:bodyDiv w:val="1"/>
      <w:marLeft w:val="0"/>
      <w:marRight w:val="0"/>
      <w:marTop w:val="0"/>
      <w:marBottom w:val="0"/>
      <w:divBdr>
        <w:top w:val="none" w:sz="0" w:space="0" w:color="auto"/>
        <w:left w:val="none" w:sz="0" w:space="0" w:color="auto"/>
        <w:bottom w:val="none" w:sz="0" w:space="0" w:color="auto"/>
        <w:right w:val="none" w:sz="0" w:space="0" w:color="auto"/>
      </w:divBdr>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
    <w:div w:id="1720206876">
      <w:bodyDiv w:val="1"/>
      <w:marLeft w:val="0"/>
      <w:marRight w:val="0"/>
      <w:marTop w:val="0"/>
      <w:marBottom w:val="0"/>
      <w:divBdr>
        <w:top w:val="none" w:sz="0" w:space="0" w:color="auto"/>
        <w:left w:val="none" w:sz="0" w:space="0" w:color="auto"/>
        <w:bottom w:val="none" w:sz="0" w:space="0" w:color="auto"/>
        <w:right w:val="none" w:sz="0" w:space="0" w:color="auto"/>
      </w:divBdr>
    </w:div>
    <w:div w:id="174090803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178280">
      <w:bodyDiv w:val="1"/>
      <w:marLeft w:val="0"/>
      <w:marRight w:val="0"/>
      <w:marTop w:val="0"/>
      <w:marBottom w:val="0"/>
      <w:divBdr>
        <w:top w:val="none" w:sz="0" w:space="0" w:color="auto"/>
        <w:left w:val="none" w:sz="0" w:space="0" w:color="auto"/>
        <w:bottom w:val="none" w:sz="0" w:space="0" w:color="auto"/>
        <w:right w:val="none" w:sz="0" w:space="0" w:color="auto"/>
      </w:divBdr>
    </w:div>
    <w:div w:id="1774663451">
      <w:bodyDiv w:val="1"/>
      <w:marLeft w:val="0"/>
      <w:marRight w:val="0"/>
      <w:marTop w:val="0"/>
      <w:marBottom w:val="0"/>
      <w:divBdr>
        <w:top w:val="none" w:sz="0" w:space="0" w:color="auto"/>
        <w:left w:val="none" w:sz="0" w:space="0" w:color="auto"/>
        <w:bottom w:val="none" w:sz="0" w:space="0" w:color="auto"/>
        <w:right w:val="none" w:sz="0" w:space="0" w:color="auto"/>
      </w:divBdr>
    </w:div>
    <w:div w:id="1783567398">
      <w:bodyDiv w:val="1"/>
      <w:marLeft w:val="0"/>
      <w:marRight w:val="0"/>
      <w:marTop w:val="0"/>
      <w:marBottom w:val="0"/>
      <w:divBdr>
        <w:top w:val="none" w:sz="0" w:space="0" w:color="auto"/>
        <w:left w:val="none" w:sz="0" w:space="0" w:color="auto"/>
        <w:bottom w:val="none" w:sz="0" w:space="0" w:color="auto"/>
        <w:right w:val="none" w:sz="0" w:space="0" w:color="auto"/>
      </w:divBdr>
    </w:div>
    <w:div w:id="1789813519">
      <w:bodyDiv w:val="1"/>
      <w:marLeft w:val="0"/>
      <w:marRight w:val="0"/>
      <w:marTop w:val="0"/>
      <w:marBottom w:val="0"/>
      <w:divBdr>
        <w:top w:val="none" w:sz="0" w:space="0" w:color="auto"/>
        <w:left w:val="none" w:sz="0" w:space="0" w:color="auto"/>
        <w:bottom w:val="none" w:sz="0" w:space="0" w:color="auto"/>
        <w:right w:val="none" w:sz="0" w:space="0" w:color="auto"/>
      </w:divBdr>
    </w:div>
    <w:div w:id="1790852764">
      <w:bodyDiv w:val="1"/>
      <w:marLeft w:val="0"/>
      <w:marRight w:val="0"/>
      <w:marTop w:val="0"/>
      <w:marBottom w:val="0"/>
      <w:divBdr>
        <w:top w:val="none" w:sz="0" w:space="0" w:color="auto"/>
        <w:left w:val="none" w:sz="0" w:space="0" w:color="auto"/>
        <w:bottom w:val="none" w:sz="0" w:space="0" w:color="auto"/>
        <w:right w:val="none" w:sz="0" w:space="0" w:color="auto"/>
      </w:divBdr>
    </w:div>
    <w:div w:id="1799911902">
      <w:bodyDiv w:val="1"/>
      <w:marLeft w:val="0"/>
      <w:marRight w:val="0"/>
      <w:marTop w:val="0"/>
      <w:marBottom w:val="0"/>
      <w:divBdr>
        <w:top w:val="none" w:sz="0" w:space="0" w:color="auto"/>
        <w:left w:val="none" w:sz="0" w:space="0" w:color="auto"/>
        <w:bottom w:val="none" w:sz="0" w:space="0" w:color="auto"/>
        <w:right w:val="none" w:sz="0" w:space="0" w:color="auto"/>
      </w:divBdr>
    </w:div>
    <w:div w:id="1812743363">
      <w:bodyDiv w:val="1"/>
      <w:marLeft w:val="0"/>
      <w:marRight w:val="0"/>
      <w:marTop w:val="0"/>
      <w:marBottom w:val="0"/>
      <w:divBdr>
        <w:top w:val="none" w:sz="0" w:space="0" w:color="auto"/>
        <w:left w:val="none" w:sz="0" w:space="0" w:color="auto"/>
        <w:bottom w:val="none" w:sz="0" w:space="0" w:color="auto"/>
        <w:right w:val="none" w:sz="0" w:space="0" w:color="auto"/>
      </w:divBdr>
    </w:div>
    <w:div w:id="1815877195">
      <w:bodyDiv w:val="1"/>
      <w:marLeft w:val="0"/>
      <w:marRight w:val="0"/>
      <w:marTop w:val="0"/>
      <w:marBottom w:val="0"/>
      <w:divBdr>
        <w:top w:val="none" w:sz="0" w:space="0" w:color="auto"/>
        <w:left w:val="none" w:sz="0" w:space="0" w:color="auto"/>
        <w:bottom w:val="none" w:sz="0" w:space="0" w:color="auto"/>
        <w:right w:val="none" w:sz="0" w:space="0" w:color="auto"/>
      </w:divBdr>
    </w:div>
    <w:div w:id="1824587907">
      <w:bodyDiv w:val="1"/>
      <w:marLeft w:val="0"/>
      <w:marRight w:val="0"/>
      <w:marTop w:val="0"/>
      <w:marBottom w:val="0"/>
      <w:divBdr>
        <w:top w:val="none" w:sz="0" w:space="0" w:color="auto"/>
        <w:left w:val="none" w:sz="0" w:space="0" w:color="auto"/>
        <w:bottom w:val="none" w:sz="0" w:space="0" w:color="auto"/>
        <w:right w:val="none" w:sz="0" w:space="0" w:color="auto"/>
      </w:divBdr>
      <w:divsChild>
        <w:div w:id="116533991">
          <w:marLeft w:val="274"/>
          <w:marRight w:val="0"/>
          <w:marTop w:val="0"/>
          <w:marBottom w:val="0"/>
          <w:divBdr>
            <w:top w:val="none" w:sz="0" w:space="0" w:color="auto"/>
            <w:left w:val="none" w:sz="0" w:space="0" w:color="auto"/>
            <w:bottom w:val="none" w:sz="0" w:space="0" w:color="auto"/>
            <w:right w:val="none" w:sz="0" w:space="0" w:color="auto"/>
          </w:divBdr>
        </w:div>
        <w:div w:id="1138499420">
          <w:marLeft w:val="274"/>
          <w:marRight w:val="0"/>
          <w:marTop w:val="0"/>
          <w:marBottom w:val="0"/>
          <w:divBdr>
            <w:top w:val="none" w:sz="0" w:space="0" w:color="auto"/>
            <w:left w:val="none" w:sz="0" w:space="0" w:color="auto"/>
            <w:bottom w:val="none" w:sz="0" w:space="0" w:color="auto"/>
            <w:right w:val="none" w:sz="0" w:space="0" w:color="auto"/>
          </w:divBdr>
        </w:div>
        <w:div w:id="1163857676">
          <w:marLeft w:val="274"/>
          <w:marRight w:val="0"/>
          <w:marTop w:val="0"/>
          <w:marBottom w:val="0"/>
          <w:divBdr>
            <w:top w:val="none" w:sz="0" w:space="0" w:color="auto"/>
            <w:left w:val="none" w:sz="0" w:space="0" w:color="auto"/>
            <w:bottom w:val="none" w:sz="0" w:space="0" w:color="auto"/>
            <w:right w:val="none" w:sz="0" w:space="0" w:color="auto"/>
          </w:divBdr>
        </w:div>
        <w:div w:id="1453017140">
          <w:marLeft w:val="274"/>
          <w:marRight w:val="0"/>
          <w:marTop w:val="0"/>
          <w:marBottom w:val="0"/>
          <w:divBdr>
            <w:top w:val="none" w:sz="0" w:space="0" w:color="auto"/>
            <w:left w:val="none" w:sz="0" w:space="0" w:color="auto"/>
            <w:bottom w:val="none" w:sz="0" w:space="0" w:color="auto"/>
            <w:right w:val="none" w:sz="0" w:space="0" w:color="auto"/>
          </w:divBdr>
        </w:div>
      </w:divsChild>
    </w:div>
    <w:div w:id="1833450153">
      <w:bodyDiv w:val="1"/>
      <w:marLeft w:val="0"/>
      <w:marRight w:val="0"/>
      <w:marTop w:val="0"/>
      <w:marBottom w:val="0"/>
      <w:divBdr>
        <w:top w:val="none" w:sz="0" w:space="0" w:color="auto"/>
        <w:left w:val="none" w:sz="0" w:space="0" w:color="auto"/>
        <w:bottom w:val="none" w:sz="0" w:space="0" w:color="auto"/>
        <w:right w:val="none" w:sz="0" w:space="0" w:color="auto"/>
      </w:divBdr>
      <w:divsChild>
        <w:div w:id="486942916">
          <w:marLeft w:val="274"/>
          <w:marRight w:val="0"/>
          <w:marTop w:val="0"/>
          <w:marBottom w:val="0"/>
          <w:divBdr>
            <w:top w:val="none" w:sz="0" w:space="0" w:color="auto"/>
            <w:left w:val="none" w:sz="0" w:space="0" w:color="auto"/>
            <w:bottom w:val="none" w:sz="0" w:space="0" w:color="auto"/>
            <w:right w:val="none" w:sz="0" w:space="0" w:color="auto"/>
          </w:divBdr>
        </w:div>
      </w:divsChild>
    </w:div>
    <w:div w:id="1834904832">
      <w:bodyDiv w:val="1"/>
      <w:marLeft w:val="0"/>
      <w:marRight w:val="0"/>
      <w:marTop w:val="0"/>
      <w:marBottom w:val="0"/>
      <w:divBdr>
        <w:top w:val="none" w:sz="0" w:space="0" w:color="auto"/>
        <w:left w:val="none" w:sz="0" w:space="0" w:color="auto"/>
        <w:bottom w:val="none" w:sz="0" w:space="0" w:color="auto"/>
        <w:right w:val="none" w:sz="0" w:space="0" w:color="auto"/>
      </w:divBdr>
    </w:div>
    <w:div w:id="1837765651">
      <w:bodyDiv w:val="1"/>
      <w:marLeft w:val="0"/>
      <w:marRight w:val="0"/>
      <w:marTop w:val="0"/>
      <w:marBottom w:val="0"/>
      <w:divBdr>
        <w:top w:val="none" w:sz="0" w:space="0" w:color="auto"/>
        <w:left w:val="none" w:sz="0" w:space="0" w:color="auto"/>
        <w:bottom w:val="none" w:sz="0" w:space="0" w:color="auto"/>
        <w:right w:val="none" w:sz="0" w:space="0" w:color="auto"/>
      </w:divBdr>
      <w:divsChild>
        <w:div w:id="439107972">
          <w:marLeft w:val="994"/>
          <w:marRight w:val="0"/>
          <w:marTop w:val="0"/>
          <w:marBottom w:val="0"/>
          <w:divBdr>
            <w:top w:val="none" w:sz="0" w:space="0" w:color="auto"/>
            <w:left w:val="none" w:sz="0" w:space="0" w:color="auto"/>
            <w:bottom w:val="none" w:sz="0" w:space="0" w:color="auto"/>
            <w:right w:val="none" w:sz="0" w:space="0" w:color="auto"/>
          </w:divBdr>
        </w:div>
        <w:div w:id="2080050950">
          <w:marLeft w:val="994"/>
          <w:marRight w:val="0"/>
          <w:marTop w:val="0"/>
          <w:marBottom w:val="0"/>
          <w:divBdr>
            <w:top w:val="none" w:sz="0" w:space="0" w:color="auto"/>
            <w:left w:val="none" w:sz="0" w:space="0" w:color="auto"/>
            <w:bottom w:val="none" w:sz="0" w:space="0" w:color="auto"/>
            <w:right w:val="none" w:sz="0" w:space="0" w:color="auto"/>
          </w:divBdr>
        </w:div>
      </w:divsChild>
    </w:div>
    <w:div w:id="1852842000">
      <w:bodyDiv w:val="1"/>
      <w:marLeft w:val="0"/>
      <w:marRight w:val="0"/>
      <w:marTop w:val="0"/>
      <w:marBottom w:val="0"/>
      <w:divBdr>
        <w:top w:val="none" w:sz="0" w:space="0" w:color="auto"/>
        <w:left w:val="none" w:sz="0" w:space="0" w:color="auto"/>
        <w:bottom w:val="none" w:sz="0" w:space="0" w:color="auto"/>
        <w:right w:val="none" w:sz="0" w:space="0" w:color="auto"/>
      </w:divBdr>
      <w:divsChild>
        <w:div w:id="639192282">
          <w:marLeft w:val="274"/>
          <w:marRight w:val="0"/>
          <w:marTop w:val="0"/>
          <w:marBottom w:val="0"/>
          <w:divBdr>
            <w:top w:val="none" w:sz="0" w:space="0" w:color="auto"/>
            <w:left w:val="none" w:sz="0" w:space="0" w:color="auto"/>
            <w:bottom w:val="none" w:sz="0" w:space="0" w:color="auto"/>
            <w:right w:val="none" w:sz="0" w:space="0" w:color="auto"/>
          </w:divBdr>
        </w:div>
        <w:div w:id="753405596">
          <w:marLeft w:val="274"/>
          <w:marRight w:val="0"/>
          <w:marTop w:val="0"/>
          <w:marBottom w:val="0"/>
          <w:divBdr>
            <w:top w:val="none" w:sz="0" w:space="0" w:color="auto"/>
            <w:left w:val="none" w:sz="0" w:space="0" w:color="auto"/>
            <w:bottom w:val="none" w:sz="0" w:space="0" w:color="auto"/>
            <w:right w:val="none" w:sz="0" w:space="0" w:color="auto"/>
          </w:divBdr>
        </w:div>
        <w:div w:id="1135949674">
          <w:marLeft w:val="274"/>
          <w:marRight w:val="0"/>
          <w:marTop w:val="0"/>
          <w:marBottom w:val="0"/>
          <w:divBdr>
            <w:top w:val="none" w:sz="0" w:space="0" w:color="auto"/>
            <w:left w:val="none" w:sz="0" w:space="0" w:color="auto"/>
            <w:bottom w:val="none" w:sz="0" w:space="0" w:color="auto"/>
            <w:right w:val="none" w:sz="0" w:space="0" w:color="auto"/>
          </w:divBdr>
        </w:div>
      </w:divsChild>
    </w:div>
    <w:div w:id="1856728947">
      <w:bodyDiv w:val="1"/>
      <w:marLeft w:val="0"/>
      <w:marRight w:val="0"/>
      <w:marTop w:val="0"/>
      <w:marBottom w:val="0"/>
      <w:divBdr>
        <w:top w:val="none" w:sz="0" w:space="0" w:color="auto"/>
        <w:left w:val="none" w:sz="0" w:space="0" w:color="auto"/>
        <w:bottom w:val="none" w:sz="0" w:space="0" w:color="auto"/>
        <w:right w:val="none" w:sz="0" w:space="0" w:color="auto"/>
      </w:divBdr>
      <w:divsChild>
        <w:div w:id="1507817463">
          <w:marLeft w:val="446"/>
          <w:marRight w:val="0"/>
          <w:marTop w:val="86"/>
          <w:marBottom w:val="0"/>
          <w:divBdr>
            <w:top w:val="none" w:sz="0" w:space="0" w:color="auto"/>
            <w:left w:val="none" w:sz="0" w:space="0" w:color="auto"/>
            <w:bottom w:val="none" w:sz="0" w:space="0" w:color="auto"/>
            <w:right w:val="none" w:sz="0" w:space="0" w:color="auto"/>
          </w:divBdr>
        </w:div>
      </w:divsChild>
    </w:div>
    <w:div w:id="1866870477">
      <w:bodyDiv w:val="1"/>
      <w:marLeft w:val="0"/>
      <w:marRight w:val="0"/>
      <w:marTop w:val="0"/>
      <w:marBottom w:val="0"/>
      <w:divBdr>
        <w:top w:val="none" w:sz="0" w:space="0" w:color="auto"/>
        <w:left w:val="none" w:sz="0" w:space="0" w:color="auto"/>
        <w:bottom w:val="none" w:sz="0" w:space="0" w:color="auto"/>
        <w:right w:val="none" w:sz="0" w:space="0" w:color="auto"/>
      </w:divBdr>
      <w:divsChild>
        <w:div w:id="1661734452">
          <w:marLeft w:val="446"/>
          <w:marRight w:val="0"/>
          <w:marTop w:val="86"/>
          <w:marBottom w:val="0"/>
          <w:divBdr>
            <w:top w:val="none" w:sz="0" w:space="0" w:color="auto"/>
            <w:left w:val="none" w:sz="0" w:space="0" w:color="auto"/>
            <w:bottom w:val="none" w:sz="0" w:space="0" w:color="auto"/>
            <w:right w:val="none" w:sz="0" w:space="0" w:color="auto"/>
          </w:divBdr>
        </w:div>
      </w:divsChild>
    </w:div>
    <w:div w:id="1869642510">
      <w:bodyDiv w:val="1"/>
      <w:marLeft w:val="0"/>
      <w:marRight w:val="0"/>
      <w:marTop w:val="0"/>
      <w:marBottom w:val="0"/>
      <w:divBdr>
        <w:top w:val="none" w:sz="0" w:space="0" w:color="auto"/>
        <w:left w:val="none" w:sz="0" w:space="0" w:color="auto"/>
        <w:bottom w:val="none" w:sz="0" w:space="0" w:color="auto"/>
        <w:right w:val="none" w:sz="0" w:space="0" w:color="auto"/>
      </w:divBdr>
    </w:div>
    <w:div w:id="1875927296">
      <w:bodyDiv w:val="1"/>
      <w:marLeft w:val="0"/>
      <w:marRight w:val="0"/>
      <w:marTop w:val="0"/>
      <w:marBottom w:val="0"/>
      <w:divBdr>
        <w:top w:val="none" w:sz="0" w:space="0" w:color="auto"/>
        <w:left w:val="none" w:sz="0" w:space="0" w:color="auto"/>
        <w:bottom w:val="none" w:sz="0" w:space="0" w:color="auto"/>
        <w:right w:val="none" w:sz="0" w:space="0" w:color="auto"/>
      </w:divBdr>
      <w:divsChild>
        <w:div w:id="17894447">
          <w:marLeft w:val="274"/>
          <w:marRight w:val="0"/>
          <w:marTop w:val="0"/>
          <w:marBottom w:val="0"/>
          <w:divBdr>
            <w:top w:val="none" w:sz="0" w:space="0" w:color="auto"/>
            <w:left w:val="none" w:sz="0" w:space="0" w:color="auto"/>
            <w:bottom w:val="none" w:sz="0" w:space="0" w:color="auto"/>
            <w:right w:val="none" w:sz="0" w:space="0" w:color="auto"/>
          </w:divBdr>
        </w:div>
        <w:div w:id="40909058">
          <w:marLeft w:val="274"/>
          <w:marRight w:val="0"/>
          <w:marTop w:val="0"/>
          <w:marBottom w:val="0"/>
          <w:divBdr>
            <w:top w:val="none" w:sz="0" w:space="0" w:color="auto"/>
            <w:left w:val="none" w:sz="0" w:space="0" w:color="auto"/>
            <w:bottom w:val="none" w:sz="0" w:space="0" w:color="auto"/>
            <w:right w:val="none" w:sz="0" w:space="0" w:color="auto"/>
          </w:divBdr>
        </w:div>
        <w:div w:id="167058758">
          <w:marLeft w:val="274"/>
          <w:marRight w:val="0"/>
          <w:marTop w:val="0"/>
          <w:marBottom w:val="0"/>
          <w:divBdr>
            <w:top w:val="none" w:sz="0" w:space="0" w:color="auto"/>
            <w:left w:val="none" w:sz="0" w:space="0" w:color="auto"/>
            <w:bottom w:val="none" w:sz="0" w:space="0" w:color="auto"/>
            <w:right w:val="none" w:sz="0" w:space="0" w:color="auto"/>
          </w:divBdr>
        </w:div>
        <w:div w:id="1121999072">
          <w:marLeft w:val="274"/>
          <w:marRight w:val="0"/>
          <w:marTop w:val="0"/>
          <w:marBottom w:val="0"/>
          <w:divBdr>
            <w:top w:val="none" w:sz="0" w:space="0" w:color="auto"/>
            <w:left w:val="none" w:sz="0" w:space="0" w:color="auto"/>
            <w:bottom w:val="none" w:sz="0" w:space="0" w:color="auto"/>
            <w:right w:val="none" w:sz="0" w:space="0" w:color="auto"/>
          </w:divBdr>
        </w:div>
        <w:div w:id="1201362296">
          <w:marLeft w:val="274"/>
          <w:marRight w:val="0"/>
          <w:marTop w:val="0"/>
          <w:marBottom w:val="0"/>
          <w:divBdr>
            <w:top w:val="none" w:sz="0" w:space="0" w:color="auto"/>
            <w:left w:val="none" w:sz="0" w:space="0" w:color="auto"/>
            <w:bottom w:val="none" w:sz="0" w:space="0" w:color="auto"/>
            <w:right w:val="none" w:sz="0" w:space="0" w:color="auto"/>
          </w:divBdr>
        </w:div>
        <w:div w:id="1205555285">
          <w:marLeft w:val="274"/>
          <w:marRight w:val="0"/>
          <w:marTop w:val="0"/>
          <w:marBottom w:val="0"/>
          <w:divBdr>
            <w:top w:val="none" w:sz="0" w:space="0" w:color="auto"/>
            <w:left w:val="none" w:sz="0" w:space="0" w:color="auto"/>
            <w:bottom w:val="none" w:sz="0" w:space="0" w:color="auto"/>
            <w:right w:val="none" w:sz="0" w:space="0" w:color="auto"/>
          </w:divBdr>
        </w:div>
        <w:div w:id="1859461675">
          <w:marLeft w:val="274"/>
          <w:marRight w:val="0"/>
          <w:marTop w:val="0"/>
          <w:marBottom w:val="0"/>
          <w:divBdr>
            <w:top w:val="none" w:sz="0" w:space="0" w:color="auto"/>
            <w:left w:val="none" w:sz="0" w:space="0" w:color="auto"/>
            <w:bottom w:val="none" w:sz="0" w:space="0" w:color="auto"/>
            <w:right w:val="none" w:sz="0" w:space="0" w:color="auto"/>
          </w:divBdr>
        </w:div>
        <w:div w:id="2084914480">
          <w:marLeft w:val="274"/>
          <w:marRight w:val="0"/>
          <w:marTop w:val="0"/>
          <w:marBottom w:val="0"/>
          <w:divBdr>
            <w:top w:val="none" w:sz="0" w:space="0" w:color="auto"/>
            <w:left w:val="none" w:sz="0" w:space="0" w:color="auto"/>
            <w:bottom w:val="none" w:sz="0" w:space="0" w:color="auto"/>
            <w:right w:val="none" w:sz="0" w:space="0" w:color="auto"/>
          </w:divBdr>
        </w:div>
      </w:divsChild>
    </w:div>
    <w:div w:id="1876118496">
      <w:bodyDiv w:val="1"/>
      <w:marLeft w:val="0"/>
      <w:marRight w:val="0"/>
      <w:marTop w:val="0"/>
      <w:marBottom w:val="0"/>
      <w:divBdr>
        <w:top w:val="none" w:sz="0" w:space="0" w:color="auto"/>
        <w:left w:val="none" w:sz="0" w:space="0" w:color="auto"/>
        <w:bottom w:val="none" w:sz="0" w:space="0" w:color="auto"/>
        <w:right w:val="none" w:sz="0" w:space="0" w:color="auto"/>
      </w:divBdr>
    </w:div>
    <w:div w:id="1885865552">
      <w:bodyDiv w:val="1"/>
      <w:marLeft w:val="0"/>
      <w:marRight w:val="0"/>
      <w:marTop w:val="0"/>
      <w:marBottom w:val="0"/>
      <w:divBdr>
        <w:top w:val="none" w:sz="0" w:space="0" w:color="auto"/>
        <w:left w:val="none" w:sz="0" w:space="0" w:color="auto"/>
        <w:bottom w:val="none" w:sz="0" w:space="0" w:color="auto"/>
        <w:right w:val="none" w:sz="0" w:space="0" w:color="auto"/>
      </w:divBdr>
    </w:div>
    <w:div w:id="1888642771">
      <w:bodyDiv w:val="1"/>
      <w:marLeft w:val="0"/>
      <w:marRight w:val="0"/>
      <w:marTop w:val="0"/>
      <w:marBottom w:val="0"/>
      <w:divBdr>
        <w:top w:val="none" w:sz="0" w:space="0" w:color="auto"/>
        <w:left w:val="none" w:sz="0" w:space="0" w:color="auto"/>
        <w:bottom w:val="none" w:sz="0" w:space="0" w:color="auto"/>
        <w:right w:val="none" w:sz="0" w:space="0" w:color="auto"/>
      </w:divBdr>
    </w:div>
    <w:div w:id="1891837919">
      <w:bodyDiv w:val="1"/>
      <w:marLeft w:val="0"/>
      <w:marRight w:val="0"/>
      <w:marTop w:val="0"/>
      <w:marBottom w:val="0"/>
      <w:divBdr>
        <w:top w:val="none" w:sz="0" w:space="0" w:color="auto"/>
        <w:left w:val="none" w:sz="0" w:space="0" w:color="auto"/>
        <w:bottom w:val="none" w:sz="0" w:space="0" w:color="auto"/>
        <w:right w:val="none" w:sz="0" w:space="0" w:color="auto"/>
      </w:divBdr>
      <w:divsChild>
        <w:div w:id="1478381420">
          <w:marLeft w:val="547"/>
          <w:marRight w:val="0"/>
          <w:marTop w:val="0"/>
          <w:marBottom w:val="0"/>
          <w:divBdr>
            <w:top w:val="none" w:sz="0" w:space="0" w:color="auto"/>
            <w:left w:val="none" w:sz="0" w:space="0" w:color="auto"/>
            <w:bottom w:val="none" w:sz="0" w:space="0" w:color="auto"/>
            <w:right w:val="none" w:sz="0" w:space="0" w:color="auto"/>
          </w:divBdr>
        </w:div>
        <w:div w:id="1516731187">
          <w:marLeft w:val="547"/>
          <w:marRight w:val="0"/>
          <w:marTop w:val="0"/>
          <w:marBottom w:val="0"/>
          <w:divBdr>
            <w:top w:val="none" w:sz="0" w:space="0" w:color="auto"/>
            <w:left w:val="none" w:sz="0" w:space="0" w:color="auto"/>
            <w:bottom w:val="none" w:sz="0" w:space="0" w:color="auto"/>
            <w:right w:val="none" w:sz="0" w:space="0" w:color="auto"/>
          </w:divBdr>
        </w:div>
      </w:divsChild>
    </w:div>
    <w:div w:id="1901939291">
      <w:bodyDiv w:val="1"/>
      <w:marLeft w:val="0"/>
      <w:marRight w:val="0"/>
      <w:marTop w:val="0"/>
      <w:marBottom w:val="0"/>
      <w:divBdr>
        <w:top w:val="none" w:sz="0" w:space="0" w:color="auto"/>
        <w:left w:val="none" w:sz="0" w:space="0" w:color="auto"/>
        <w:bottom w:val="none" w:sz="0" w:space="0" w:color="auto"/>
        <w:right w:val="none" w:sz="0" w:space="0" w:color="auto"/>
      </w:divBdr>
      <w:divsChild>
        <w:div w:id="324820094">
          <w:marLeft w:val="274"/>
          <w:marRight w:val="0"/>
          <w:marTop w:val="0"/>
          <w:marBottom w:val="0"/>
          <w:divBdr>
            <w:top w:val="none" w:sz="0" w:space="0" w:color="auto"/>
            <w:left w:val="none" w:sz="0" w:space="0" w:color="auto"/>
            <w:bottom w:val="none" w:sz="0" w:space="0" w:color="auto"/>
            <w:right w:val="none" w:sz="0" w:space="0" w:color="auto"/>
          </w:divBdr>
        </w:div>
      </w:divsChild>
    </w:div>
    <w:div w:id="1907647740">
      <w:bodyDiv w:val="1"/>
      <w:marLeft w:val="0"/>
      <w:marRight w:val="0"/>
      <w:marTop w:val="0"/>
      <w:marBottom w:val="0"/>
      <w:divBdr>
        <w:top w:val="none" w:sz="0" w:space="0" w:color="auto"/>
        <w:left w:val="none" w:sz="0" w:space="0" w:color="auto"/>
        <w:bottom w:val="none" w:sz="0" w:space="0" w:color="auto"/>
        <w:right w:val="none" w:sz="0" w:space="0" w:color="auto"/>
      </w:divBdr>
    </w:div>
    <w:div w:id="1909458746">
      <w:bodyDiv w:val="1"/>
      <w:marLeft w:val="0"/>
      <w:marRight w:val="0"/>
      <w:marTop w:val="0"/>
      <w:marBottom w:val="0"/>
      <w:divBdr>
        <w:top w:val="none" w:sz="0" w:space="0" w:color="auto"/>
        <w:left w:val="none" w:sz="0" w:space="0" w:color="auto"/>
        <w:bottom w:val="none" w:sz="0" w:space="0" w:color="auto"/>
        <w:right w:val="none" w:sz="0" w:space="0" w:color="auto"/>
      </w:divBdr>
      <w:divsChild>
        <w:div w:id="605965694">
          <w:marLeft w:val="1109"/>
          <w:marRight w:val="0"/>
          <w:marTop w:val="106"/>
          <w:marBottom w:val="0"/>
          <w:divBdr>
            <w:top w:val="none" w:sz="0" w:space="0" w:color="auto"/>
            <w:left w:val="none" w:sz="0" w:space="0" w:color="auto"/>
            <w:bottom w:val="none" w:sz="0" w:space="0" w:color="auto"/>
            <w:right w:val="none" w:sz="0" w:space="0" w:color="auto"/>
          </w:divBdr>
        </w:div>
        <w:div w:id="769350775">
          <w:marLeft w:val="1109"/>
          <w:marRight w:val="0"/>
          <w:marTop w:val="106"/>
          <w:marBottom w:val="0"/>
          <w:divBdr>
            <w:top w:val="none" w:sz="0" w:space="0" w:color="auto"/>
            <w:left w:val="none" w:sz="0" w:space="0" w:color="auto"/>
            <w:bottom w:val="none" w:sz="0" w:space="0" w:color="auto"/>
            <w:right w:val="none" w:sz="0" w:space="0" w:color="auto"/>
          </w:divBdr>
        </w:div>
        <w:div w:id="840856806">
          <w:marLeft w:val="1109"/>
          <w:marRight w:val="0"/>
          <w:marTop w:val="106"/>
          <w:marBottom w:val="0"/>
          <w:divBdr>
            <w:top w:val="none" w:sz="0" w:space="0" w:color="auto"/>
            <w:left w:val="none" w:sz="0" w:space="0" w:color="auto"/>
            <w:bottom w:val="none" w:sz="0" w:space="0" w:color="auto"/>
            <w:right w:val="none" w:sz="0" w:space="0" w:color="auto"/>
          </w:divBdr>
        </w:div>
        <w:div w:id="1146818399">
          <w:marLeft w:val="1109"/>
          <w:marRight w:val="0"/>
          <w:marTop w:val="106"/>
          <w:marBottom w:val="0"/>
          <w:divBdr>
            <w:top w:val="none" w:sz="0" w:space="0" w:color="auto"/>
            <w:left w:val="none" w:sz="0" w:space="0" w:color="auto"/>
            <w:bottom w:val="none" w:sz="0" w:space="0" w:color="auto"/>
            <w:right w:val="none" w:sz="0" w:space="0" w:color="auto"/>
          </w:divBdr>
        </w:div>
        <w:div w:id="1147670282">
          <w:marLeft w:val="1109"/>
          <w:marRight w:val="0"/>
          <w:marTop w:val="106"/>
          <w:marBottom w:val="0"/>
          <w:divBdr>
            <w:top w:val="none" w:sz="0" w:space="0" w:color="auto"/>
            <w:left w:val="none" w:sz="0" w:space="0" w:color="auto"/>
            <w:bottom w:val="none" w:sz="0" w:space="0" w:color="auto"/>
            <w:right w:val="none" w:sz="0" w:space="0" w:color="auto"/>
          </w:divBdr>
        </w:div>
        <w:div w:id="1605109885">
          <w:marLeft w:val="1109"/>
          <w:marRight w:val="0"/>
          <w:marTop w:val="106"/>
          <w:marBottom w:val="0"/>
          <w:divBdr>
            <w:top w:val="none" w:sz="0" w:space="0" w:color="auto"/>
            <w:left w:val="none" w:sz="0" w:space="0" w:color="auto"/>
            <w:bottom w:val="none" w:sz="0" w:space="0" w:color="auto"/>
            <w:right w:val="none" w:sz="0" w:space="0" w:color="auto"/>
          </w:divBdr>
        </w:div>
      </w:divsChild>
    </w:div>
    <w:div w:id="1929464398">
      <w:bodyDiv w:val="1"/>
      <w:marLeft w:val="0"/>
      <w:marRight w:val="0"/>
      <w:marTop w:val="0"/>
      <w:marBottom w:val="0"/>
      <w:divBdr>
        <w:top w:val="none" w:sz="0" w:space="0" w:color="auto"/>
        <w:left w:val="none" w:sz="0" w:space="0" w:color="auto"/>
        <w:bottom w:val="none" w:sz="0" w:space="0" w:color="auto"/>
        <w:right w:val="none" w:sz="0" w:space="0" w:color="auto"/>
      </w:divBdr>
    </w:div>
    <w:div w:id="19303079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8193787">
      <w:bodyDiv w:val="1"/>
      <w:marLeft w:val="0"/>
      <w:marRight w:val="0"/>
      <w:marTop w:val="0"/>
      <w:marBottom w:val="0"/>
      <w:divBdr>
        <w:top w:val="none" w:sz="0" w:space="0" w:color="auto"/>
        <w:left w:val="none" w:sz="0" w:space="0" w:color="auto"/>
        <w:bottom w:val="none" w:sz="0" w:space="0" w:color="auto"/>
        <w:right w:val="none" w:sz="0" w:space="0" w:color="auto"/>
      </w:divBdr>
    </w:div>
    <w:div w:id="1969162247">
      <w:bodyDiv w:val="1"/>
      <w:marLeft w:val="0"/>
      <w:marRight w:val="0"/>
      <w:marTop w:val="0"/>
      <w:marBottom w:val="0"/>
      <w:divBdr>
        <w:top w:val="none" w:sz="0" w:space="0" w:color="auto"/>
        <w:left w:val="none" w:sz="0" w:space="0" w:color="auto"/>
        <w:bottom w:val="none" w:sz="0" w:space="0" w:color="auto"/>
        <w:right w:val="none" w:sz="0" w:space="0" w:color="auto"/>
      </w:divBdr>
    </w:div>
    <w:div w:id="1973750803">
      <w:bodyDiv w:val="1"/>
      <w:marLeft w:val="0"/>
      <w:marRight w:val="0"/>
      <w:marTop w:val="0"/>
      <w:marBottom w:val="0"/>
      <w:divBdr>
        <w:top w:val="none" w:sz="0" w:space="0" w:color="auto"/>
        <w:left w:val="none" w:sz="0" w:space="0" w:color="auto"/>
        <w:bottom w:val="none" w:sz="0" w:space="0" w:color="auto"/>
        <w:right w:val="none" w:sz="0" w:space="0" w:color="auto"/>
      </w:divBdr>
    </w:div>
    <w:div w:id="1974945697">
      <w:bodyDiv w:val="1"/>
      <w:marLeft w:val="0"/>
      <w:marRight w:val="0"/>
      <w:marTop w:val="0"/>
      <w:marBottom w:val="0"/>
      <w:divBdr>
        <w:top w:val="none" w:sz="0" w:space="0" w:color="auto"/>
        <w:left w:val="none" w:sz="0" w:space="0" w:color="auto"/>
        <w:bottom w:val="none" w:sz="0" w:space="0" w:color="auto"/>
        <w:right w:val="none" w:sz="0" w:space="0" w:color="auto"/>
      </w:divBdr>
      <w:divsChild>
        <w:div w:id="18285387">
          <w:marLeft w:val="274"/>
          <w:marRight w:val="0"/>
          <w:marTop w:val="0"/>
          <w:marBottom w:val="0"/>
          <w:divBdr>
            <w:top w:val="none" w:sz="0" w:space="0" w:color="auto"/>
            <w:left w:val="none" w:sz="0" w:space="0" w:color="auto"/>
            <w:bottom w:val="none" w:sz="0" w:space="0" w:color="auto"/>
            <w:right w:val="none" w:sz="0" w:space="0" w:color="auto"/>
          </w:divBdr>
        </w:div>
        <w:div w:id="286201916">
          <w:marLeft w:val="274"/>
          <w:marRight w:val="0"/>
          <w:marTop w:val="0"/>
          <w:marBottom w:val="0"/>
          <w:divBdr>
            <w:top w:val="none" w:sz="0" w:space="0" w:color="auto"/>
            <w:left w:val="none" w:sz="0" w:space="0" w:color="auto"/>
            <w:bottom w:val="none" w:sz="0" w:space="0" w:color="auto"/>
            <w:right w:val="none" w:sz="0" w:space="0" w:color="auto"/>
          </w:divBdr>
        </w:div>
        <w:div w:id="325324023">
          <w:marLeft w:val="274"/>
          <w:marRight w:val="0"/>
          <w:marTop w:val="0"/>
          <w:marBottom w:val="0"/>
          <w:divBdr>
            <w:top w:val="none" w:sz="0" w:space="0" w:color="auto"/>
            <w:left w:val="none" w:sz="0" w:space="0" w:color="auto"/>
            <w:bottom w:val="none" w:sz="0" w:space="0" w:color="auto"/>
            <w:right w:val="none" w:sz="0" w:space="0" w:color="auto"/>
          </w:divBdr>
        </w:div>
        <w:div w:id="598832164">
          <w:marLeft w:val="274"/>
          <w:marRight w:val="0"/>
          <w:marTop w:val="0"/>
          <w:marBottom w:val="0"/>
          <w:divBdr>
            <w:top w:val="none" w:sz="0" w:space="0" w:color="auto"/>
            <w:left w:val="none" w:sz="0" w:space="0" w:color="auto"/>
            <w:bottom w:val="none" w:sz="0" w:space="0" w:color="auto"/>
            <w:right w:val="none" w:sz="0" w:space="0" w:color="auto"/>
          </w:divBdr>
        </w:div>
        <w:div w:id="673000765">
          <w:marLeft w:val="274"/>
          <w:marRight w:val="0"/>
          <w:marTop w:val="0"/>
          <w:marBottom w:val="0"/>
          <w:divBdr>
            <w:top w:val="none" w:sz="0" w:space="0" w:color="auto"/>
            <w:left w:val="none" w:sz="0" w:space="0" w:color="auto"/>
            <w:bottom w:val="none" w:sz="0" w:space="0" w:color="auto"/>
            <w:right w:val="none" w:sz="0" w:space="0" w:color="auto"/>
          </w:divBdr>
        </w:div>
        <w:div w:id="1248425396">
          <w:marLeft w:val="274"/>
          <w:marRight w:val="0"/>
          <w:marTop w:val="0"/>
          <w:marBottom w:val="0"/>
          <w:divBdr>
            <w:top w:val="none" w:sz="0" w:space="0" w:color="auto"/>
            <w:left w:val="none" w:sz="0" w:space="0" w:color="auto"/>
            <w:bottom w:val="none" w:sz="0" w:space="0" w:color="auto"/>
            <w:right w:val="none" w:sz="0" w:space="0" w:color="auto"/>
          </w:divBdr>
        </w:div>
        <w:div w:id="2029678736">
          <w:marLeft w:val="274"/>
          <w:marRight w:val="0"/>
          <w:marTop w:val="0"/>
          <w:marBottom w:val="0"/>
          <w:divBdr>
            <w:top w:val="none" w:sz="0" w:space="0" w:color="auto"/>
            <w:left w:val="none" w:sz="0" w:space="0" w:color="auto"/>
            <w:bottom w:val="none" w:sz="0" w:space="0" w:color="auto"/>
            <w:right w:val="none" w:sz="0" w:space="0" w:color="auto"/>
          </w:divBdr>
        </w:div>
      </w:divsChild>
    </w:div>
    <w:div w:id="197717922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001903">
      <w:bodyDiv w:val="1"/>
      <w:marLeft w:val="0"/>
      <w:marRight w:val="0"/>
      <w:marTop w:val="0"/>
      <w:marBottom w:val="0"/>
      <w:divBdr>
        <w:top w:val="none" w:sz="0" w:space="0" w:color="auto"/>
        <w:left w:val="none" w:sz="0" w:space="0" w:color="auto"/>
        <w:bottom w:val="none" w:sz="0" w:space="0" w:color="auto"/>
        <w:right w:val="none" w:sz="0" w:space="0" w:color="auto"/>
      </w:divBdr>
      <w:divsChild>
        <w:div w:id="662465784">
          <w:marLeft w:val="274"/>
          <w:marRight w:val="0"/>
          <w:marTop w:val="0"/>
          <w:marBottom w:val="0"/>
          <w:divBdr>
            <w:top w:val="none" w:sz="0" w:space="0" w:color="auto"/>
            <w:left w:val="none" w:sz="0" w:space="0" w:color="auto"/>
            <w:bottom w:val="none" w:sz="0" w:space="0" w:color="auto"/>
            <w:right w:val="none" w:sz="0" w:space="0" w:color="auto"/>
          </w:divBdr>
        </w:div>
        <w:div w:id="1120688421">
          <w:marLeft w:val="274"/>
          <w:marRight w:val="0"/>
          <w:marTop w:val="0"/>
          <w:marBottom w:val="0"/>
          <w:divBdr>
            <w:top w:val="none" w:sz="0" w:space="0" w:color="auto"/>
            <w:left w:val="none" w:sz="0" w:space="0" w:color="auto"/>
            <w:bottom w:val="none" w:sz="0" w:space="0" w:color="auto"/>
            <w:right w:val="none" w:sz="0" w:space="0" w:color="auto"/>
          </w:divBdr>
        </w:div>
      </w:divsChild>
    </w:div>
    <w:div w:id="2004579814">
      <w:bodyDiv w:val="1"/>
      <w:marLeft w:val="0"/>
      <w:marRight w:val="0"/>
      <w:marTop w:val="0"/>
      <w:marBottom w:val="0"/>
      <w:divBdr>
        <w:top w:val="none" w:sz="0" w:space="0" w:color="auto"/>
        <w:left w:val="none" w:sz="0" w:space="0" w:color="auto"/>
        <w:bottom w:val="none" w:sz="0" w:space="0" w:color="auto"/>
        <w:right w:val="none" w:sz="0" w:space="0" w:color="auto"/>
      </w:divBdr>
    </w:div>
    <w:div w:id="2017222985">
      <w:bodyDiv w:val="1"/>
      <w:marLeft w:val="0"/>
      <w:marRight w:val="0"/>
      <w:marTop w:val="0"/>
      <w:marBottom w:val="0"/>
      <w:divBdr>
        <w:top w:val="none" w:sz="0" w:space="0" w:color="auto"/>
        <w:left w:val="none" w:sz="0" w:space="0" w:color="auto"/>
        <w:bottom w:val="none" w:sz="0" w:space="0" w:color="auto"/>
        <w:right w:val="none" w:sz="0" w:space="0" w:color="auto"/>
      </w:divBdr>
    </w:div>
    <w:div w:id="2037995824">
      <w:bodyDiv w:val="1"/>
      <w:marLeft w:val="0"/>
      <w:marRight w:val="0"/>
      <w:marTop w:val="0"/>
      <w:marBottom w:val="0"/>
      <w:divBdr>
        <w:top w:val="none" w:sz="0" w:space="0" w:color="auto"/>
        <w:left w:val="none" w:sz="0" w:space="0" w:color="auto"/>
        <w:bottom w:val="none" w:sz="0" w:space="0" w:color="auto"/>
        <w:right w:val="none" w:sz="0" w:space="0" w:color="auto"/>
      </w:divBdr>
    </w:div>
    <w:div w:id="2042972178">
      <w:bodyDiv w:val="1"/>
      <w:marLeft w:val="0"/>
      <w:marRight w:val="0"/>
      <w:marTop w:val="0"/>
      <w:marBottom w:val="0"/>
      <w:divBdr>
        <w:top w:val="none" w:sz="0" w:space="0" w:color="auto"/>
        <w:left w:val="none" w:sz="0" w:space="0" w:color="auto"/>
        <w:bottom w:val="none" w:sz="0" w:space="0" w:color="auto"/>
        <w:right w:val="none" w:sz="0" w:space="0" w:color="auto"/>
      </w:divBdr>
    </w:div>
    <w:div w:id="2045594134">
      <w:bodyDiv w:val="1"/>
      <w:marLeft w:val="0"/>
      <w:marRight w:val="0"/>
      <w:marTop w:val="0"/>
      <w:marBottom w:val="0"/>
      <w:divBdr>
        <w:top w:val="none" w:sz="0" w:space="0" w:color="auto"/>
        <w:left w:val="none" w:sz="0" w:space="0" w:color="auto"/>
        <w:bottom w:val="none" w:sz="0" w:space="0" w:color="auto"/>
        <w:right w:val="none" w:sz="0" w:space="0" w:color="auto"/>
      </w:divBdr>
    </w:div>
    <w:div w:id="2060784395">
      <w:bodyDiv w:val="1"/>
      <w:marLeft w:val="0"/>
      <w:marRight w:val="0"/>
      <w:marTop w:val="0"/>
      <w:marBottom w:val="0"/>
      <w:divBdr>
        <w:top w:val="none" w:sz="0" w:space="0" w:color="auto"/>
        <w:left w:val="none" w:sz="0" w:space="0" w:color="auto"/>
        <w:bottom w:val="none" w:sz="0" w:space="0" w:color="auto"/>
        <w:right w:val="none" w:sz="0" w:space="0" w:color="auto"/>
      </w:divBdr>
    </w:div>
    <w:div w:id="2078429476">
      <w:bodyDiv w:val="1"/>
      <w:marLeft w:val="0"/>
      <w:marRight w:val="0"/>
      <w:marTop w:val="0"/>
      <w:marBottom w:val="0"/>
      <w:divBdr>
        <w:top w:val="none" w:sz="0" w:space="0" w:color="auto"/>
        <w:left w:val="none" w:sz="0" w:space="0" w:color="auto"/>
        <w:bottom w:val="none" w:sz="0" w:space="0" w:color="auto"/>
        <w:right w:val="none" w:sz="0" w:space="0" w:color="auto"/>
      </w:divBdr>
    </w:div>
    <w:div w:id="2082946429">
      <w:bodyDiv w:val="1"/>
      <w:marLeft w:val="0"/>
      <w:marRight w:val="0"/>
      <w:marTop w:val="0"/>
      <w:marBottom w:val="0"/>
      <w:divBdr>
        <w:top w:val="none" w:sz="0" w:space="0" w:color="auto"/>
        <w:left w:val="none" w:sz="0" w:space="0" w:color="auto"/>
        <w:bottom w:val="none" w:sz="0" w:space="0" w:color="auto"/>
        <w:right w:val="none" w:sz="0" w:space="0" w:color="auto"/>
      </w:divBdr>
    </w:div>
    <w:div w:id="2084837076">
      <w:bodyDiv w:val="1"/>
      <w:marLeft w:val="0"/>
      <w:marRight w:val="0"/>
      <w:marTop w:val="0"/>
      <w:marBottom w:val="0"/>
      <w:divBdr>
        <w:top w:val="none" w:sz="0" w:space="0" w:color="auto"/>
        <w:left w:val="none" w:sz="0" w:space="0" w:color="auto"/>
        <w:bottom w:val="none" w:sz="0" w:space="0" w:color="auto"/>
        <w:right w:val="none" w:sz="0" w:space="0" w:color="auto"/>
      </w:divBdr>
    </w:div>
    <w:div w:id="2098017298">
      <w:bodyDiv w:val="1"/>
      <w:marLeft w:val="0"/>
      <w:marRight w:val="0"/>
      <w:marTop w:val="0"/>
      <w:marBottom w:val="0"/>
      <w:divBdr>
        <w:top w:val="none" w:sz="0" w:space="0" w:color="auto"/>
        <w:left w:val="none" w:sz="0" w:space="0" w:color="auto"/>
        <w:bottom w:val="none" w:sz="0" w:space="0" w:color="auto"/>
        <w:right w:val="none" w:sz="0" w:space="0" w:color="auto"/>
      </w:divBdr>
    </w:div>
    <w:div w:id="2108190401">
      <w:bodyDiv w:val="1"/>
      <w:marLeft w:val="0"/>
      <w:marRight w:val="0"/>
      <w:marTop w:val="0"/>
      <w:marBottom w:val="0"/>
      <w:divBdr>
        <w:top w:val="none" w:sz="0" w:space="0" w:color="auto"/>
        <w:left w:val="none" w:sz="0" w:space="0" w:color="auto"/>
        <w:bottom w:val="none" w:sz="0" w:space="0" w:color="auto"/>
        <w:right w:val="none" w:sz="0" w:space="0" w:color="auto"/>
      </w:divBdr>
      <w:divsChild>
        <w:div w:id="151063036">
          <w:marLeft w:val="274"/>
          <w:marRight w:val="0"/>
          <w:marTop w:val="0"/>
          <w:marBottom w:val="0"/>
          <w:divBdr>
            <w:top w:val="none" w:sz="0" w:space="0" w:color="auto"/>
            <w:left w:val="none" w:sz="0" w:space="0" w:color="auto"/>
            <w:bottom w:val="none" w:sz="0" w:space="0" w:color="auto"/>
            <w:right w:val="none" w:sz="0" w:space="0" w:color="auto"/>
          </w:divBdr>
        </w:div>
        <w:div w:id="160313864">
          <w:marLeft w:val="274"/>
          <w:marRight w:val="0"/>
          <w:marTop w:val="0"/>
          <w:marBottom w:val="0"/>
          <w:divBdr>
            <w:top w:val="none" w:sz="0" w:space="0" w:color="auto"/>
            <w:left w:val="none" w:sz="0" w:space="0" w:color="auto"/>
            <w:bottom w:val="none" w:sz="0" w:space="0" w:color="auto"/>
            <w:right w:val="none" w:sz="0" w:space="0" w:color="auto"/>
          </w:divBdr>
        </w:div>
        <w:div w:id="278486617">
          <w:marLeft w:val="274"/>
          <w:marRight w:val="0"/>
          <w:marTop w:val="0"/>
          <w:marBottom w:val="0"/>
          <w:divBdr>
            <w:top w:val="none" w:sz="0" w:space="0" w:color="auto"/>
            <w:left w:val="none" w:sz="0" w:space="0" w:color="auto"/>
            <w:bottom w:val="none" w:sz="0" w:space="0" w:color="auto"/>
            <w:right w:val="none" w:sz="0" w:space="0" w:color="auto"/>
          </w:divBdr>
        </w:div>
        <w:div w:id="519658355">
          <w:marLeft w:val="274"/>
          <w:marRight w:val="0"/>
          <w:marTop w:val="0"/>
          <w:marBottom w:val="0"/>
          <w:divBdr>
            <w:top w:val="none" w:sz="0" w:space="0" w:color="auto"/>
            <w:left w:val="none" w:sz="0" w:space="0" w:color="auto"/>
            <w:bottom w:val="none" w:sz="0" w:space="0" w:color="auto"/>
            <w:right w:val="none" w:sz="0" w:space="0" w:color="auto"/>
          </w:divBdr>
        </w:div>
        <w:div w:id="836843818">
          <w:marLeft w:val="274"/>
          <w:marRight w:val="0"/>
          <w:marTop w:val="0"/>
          <w:marBottom w:val="0"/>
          <w:divBdr>
            <w:top w:val="none" w:sz="0" w:space="0" w:color="auto"/>
            <w:left w:val="none" w:sz="0" w:space="0" w:color="auto"/>
            <w:bottom w:val="none" w:sz="0" w:space="0" w:color="auto"/>
            <w:right w:val="none" w:sz="0" w:space="0" w:color="auto"/>
          </w:divBdr>
        </w:div>
        <w:div w:id="1652981069">
          <w:marLeft w:val="274"/>
          <w:marRight w:val="0"/>
          <w:marTop w:val="0"/>
          <w:marBottom w:val="0"/>
          <w:divBdr>
            <w:top w:val="none" w:sz="0" w:space="0" w:color="auto"/>
            <w:left w:val="none" w:sz="0" w:space="0" w:color="auto"/>
            <w:bottom w:val="none" w:sz="0" w:space="0" w:color="auto"/>
            <w:right w:val="none" w:sz="0" w:space="0" w:color="auto"/>
          </w:divBdr>
        </w:div>
        <w:div w:id="1811363705">
          <w:marLeft w:val="274"/>
          <w:marRight w:val="0"/>
          <w:marTop w:val="0"/>
          <w:marBottom w:val="0"/>
          <w:divBdr>
            <w:top w:val="none" w:sz="0" w:space="0" w:color="auto"/>
            <w:left w:val="none" w:sz="0" w:space="0" w:color="auto"/>
            <w:bottom w:val="none" w:sz="0" w:space="0" w:color="auto"/>
            <w:right w:val="none" w:sz="0" w:space="0" w:color="auto"/>
          </w:divBdr>
        </w:div>
        <w:div w:id="2147357102">
          <w:marLeft w:val="274"/>
          <w:marRight w:val="0"/>
          <w:marTop w:val="0"/>
          <w:marBottom w:val="0"/>
          <w:divBdr>
            <w:top w:val="none" w:sz="0" w:space="0" w:color="auto"/>
            <w:left w:val="none" w:sz="0" w:space="0" w:color="auto"/>
            <w:bottom w:val="none" w:sz="0" w:space="0" w:color="auto"/>
            <w:right w:val="none" w:sz="0" w:space="0" w:color="auto"/>
          </w:divBdr>
        </w:div>
      </w:divsChild>
    </w:div>
    <w:div w:id="2122532217">
      <w:bodyDiv w:val="1"/>
      <w:marLeft w:val="0"/>
      <w:marRight w:val="0"/>
      <w:marTop w:val="0"/>
      <w:marBottom w:val="0"/>
      <w:divBdr>
        <w:top w:val="none" w:sz="0" w:space="0" w:color="auto"/>
        <w:left w:val="none" w:sz="0" w:space="0" w:color="auto"/>
        <w:bottom w:val="none" w:sz="0" w:space="0" w:color="auto"/>
        <w:right w:val="none" w:sz="0" w:space="0" w:color="auto"/>
      </w:divBdr>
    </w:div>
    <w:div w:id="2127695088">
      <w:bodyDiv w:val="1"/>
      <w:marLeft w:val="0"/>
      <w:marRight w:val="0"/>
      <w:marTop w:val="0"/>
      <w:marBottom w:val="0"/>
      <w:divBdr>
        <w:top w:val="none" w:sz="0" w:space="0" w:color="auto"/>
        <w:left w:val="none" w:sz="0" w:space="0" w:color="auto"/>
        <w:bottom w:val="none" w:sz="0" w:space="0" w:color="auto"/>
        <w:right w:val="none" w:sz="0" w:space="0" w:color="auto"/>
      </w:divBdr>
      <w:divsChild>
        <w:div w:id="344404057">
          <w:marLeft w:val="274"/>
          <w:marRight w:val="0"/>
          <w:marTop w:val="0"/>
          <w:marBottom w:val="0"/>
          <w:divBdr>
            <w:top w:val="none" w:sz="0" w:space="0" w:color="auto"/>
            <w:left w:val="none" w:sz="0" w:space="0" w:color="auto"/>
            <w:bottom w:val="none" w:sz="0" w:space="0" w:color="auto"/>
            <w:right w:val="none" w:sz="0" w:space="0" w:color="auto"/>
          </w:divBdr>
        </w:div>
        <w:div w:id="432746436">
          <w:marLeft w:val="274"/>
          <w:marRight w:val="0"/>
          <w:marTop w:val="0"/>
          <w:marBottom w:val="0"/>
          <w:divBdr>
            <w:top w:val="none" w:sz="0" w:space="0" w:color="auto"/>
            <w:left w:val="none" w:sz="0" w:space="0" w:color="auto"/>
            <w:bottom w:val="none" w:sz="0" w:space="0" w:color="auto"/>
            <w:right w:val="none" w:sz="0" w:space="0" w:color="auto"/>
          </w:divBdr>
        </w:div>
        <w:div w:id="752432142">
          <w:marLeft w:val="274"/>
          <w:marRight w:val="0"/>
          <w:marTop w:val="0"/>
          <w:marBottom w:val="0"/>
          <w:divBdr>
            <w:top w:val="none" w:sz="0" w:space="0" w:color="auto"/>
            <w:left w:val="none" w:sz="0" w:space="0" w:color="auto"/>
            <w:bottom w:val="none" w:sz="0" w:space="0" w:color="auto"/>
            <w:right w:val="none" w:sz="0" w:space="0" w:color="auto"/>
          </w:divBdr>
        </w:div>
        <w:div w:id="1335953378">
          <w:marLeft w:val="274"/>
          <w:marRight w:val="0"/>
          <w:marTop w:val="0"/>
          <w:marBottom w:val="0"/>
          <w:divBdr>
            <w:top w:val="none" w:sz="0" w:space="0" w:color="auto"/>
            <w:left w:val="none" w:sz="0" w:space="0" w:color="auto"/>
            <w:bottom w:val="none" w:sz="0" w:space="0" w:color="auto"/>
            <w:right w:val="none" w:sz="0" w:space="0" w:color="auto"/>
          </w:divBdr>
        </w:div>
      </w:divsChild>
    </w:div>
    <w:div w:id="2132090421">
      <w:bodyDiv w:val="1"/>
      <w:marLeft w:val="0"/>
      <w:marRight w:val="0"/>
      <w:marTop w:val="0"/>
      <w:marBottom w:val="0"/>
      <w:divBdr>
        <w:top w:val="none" w:sz="0" w:space="0" w:color="auto"/>
        <w:left w:val="none" w:sz="0" w:space="0" w:color="auto"/>
        <w:bottom w:val="none" w:sz="0" w:space="0" w:color="auto"/>
        <w:right w:val="none" w:sz="0" w:space="0" w:color="auto"/>
      </w:divBdr>
      <w:divsChild>
        <w:div w:id="658114701">
          <w:marLeft w:val="446"/>
          <w:marRight w:val="0"/>
          <w:marTop w:val="0"/>
          <w:marBottom w:val="0"/>
          <w:divBdr>
            <w:top w:val="none" w:sz="0" w:space="0" w:color="auto"/>
            <w:left w:val="none" w:sz="0" w:space="0" w:color="auto"/>
            <w:bottom w:val="none" w:sz="0" w:space="0" w:color="auto"/>
            <w:right w:val="none" w:sz="0" w:space="0" w:color="auto"/>
          </w:divBdr>
        </w:div>
        <w:div w:id="1379208266">
          <w:marLeft w:val="446"/>
          <w:marRight w:val="0"/>
          <w:marTop w:val="0"/>
          <w:marBottom w:val="0"/>
          <w:divBdr>
            <w:top w:val="none" w:sz="0" w:space="0" w:color="auto"/>
            <w:left w:val="none" w:sz="0" w:space="0" w:color="auto"/>
            <w:bottom w:val="none" w:sz="0" w:space="0" w:color="auto"/>
            <w:right w:val="none" w:sz="0" w:space="0" w:color="auto"/>
          </w:divBdr>
        </w:div>
        <w:div w:id="1431045512">
          <w:marLeft w:val="446"/>
          <w:marRight w:val="0"/>
          <w:marTop w:val="0"/>
          <w:marBottom w:val="0"/>
          <w:divBdr>
            <w:top w:val="none" w:sz="0" w:space="0" w:color="auto"/>
            <w:left w:val="none" w:sz="0" w:space="0" w:color="auto"/>
            <w:bottom w:val="none" w:sz="0" w:space="0" w:color="auto"/>
            <w:right w:val="none" w:sz="0" w:space="0" w:color="auto"/>
          </w:divBdr>
        </w:div>
        <w:div w:id="1464542785">
          <w:marLeft w:val="446"/>
          <w:marRight w:val="0"/>
          <w:marTop w:val="0"/>
          <w:marBottom w:val="0"/>
          <w:divBdr>
            <w:top w:val="none" w:sz="0" w:space="0" w:color="auto"/>
            <w:left w:val="none" w:sz="0" w:space="0" w:color="auto"/>
            <w:bottom w:val="none" w:sz="0" w:space="0" w:color="auto"/>
            <w:right w:val="none" w:sz="0" w:space="0" w:color="auto"/>
          </w:divBdr>
        </w:div>
        <w:div w:id="1857958726">
          <w:marLeft w:val="446"/>
          <w:marRight w:val="0"/>
          <w:marTop w:val="0"/>
          <w:marBottom w:val="0"/>
          <w:divBdr>
            <w:top w:val="none" w:sz="0" w:space="0" w:color="auto"/>
            <w:left w:val="none" w:sz="0" w:space="0" w:color="auto"/>
            <w:bottom w:val="none" w:sz="0" w:space="0" w:color="auto"/>
            <w:right w:val="none" w:sz="0" w:space="0" w:color="auto"/>
          </w:divBdr>
        </w:div>
        <w:div w:id="1999963285">
          <w:marLeft w:val="446"/>
          <w:marRight w:val="0"/>
          <w:marTop w:val="0"/>
          <w:marBottom w:val="0"/>
          <w:divBdr>
            <w:top w:val="none" w:sz="0" w:space="0" w:color="auto"/>
            <w:left w:val="none" w:sz="0" w:space="0" w:color="auto"/>
            <w:bottom w:val="none" w:sz="0" w:space="0" w:color="auto"/>
            <w:right w:val="none" w:sz="0" w:space="0" w:color="auto"/>
          </w:divBdr>
        </w:div>
      </w:divsChild>
    </w:div>
    <w:div w:id="2136365614">
      <w:bodyDiv w:val="1"/>
      <w:marLeft w:val="0"/>
      <w:marRight w:val="0"/>
      <w:marTop w:val="0"/>
      <w:marBottom w:val="0"/>
      <w:divBdr>
        <w:top w:val="none" w:sz="0" w:space="0" w:color="auto"/>
        <w:left w:val="none" w:sz="0" w:space="0" w:color="auto"/>
        <w:bottom w:val="none" w:sz="0" w:space="0" w:color="auto"/>
        <w:right w:val="none" w:sz="0" w:space="0" w:color="auto"/>
      </w:divBdr>
      <w:divsChild>
        <w:div w:id="244460585">
          <w:marLeft w:val="994"/>
          <w:marRight w:val="0"/>
          <w:marTop w:val="0"/>
          <w:marBottom w:val="0"/>
          <w:divBdr>
            <w:top w:val="none" w:sz="0" w:space="0" w:color="auto"/>
            <w:left w:val="none" w:sz="0" w:space="0" w:color="auto"/>
            <w:bottom w:val="none" w:sz="0" w:space="0" w:color="auto"/>
            <w:right w:val="none" w:sz="0" w:space="0" w:color="auto"/>
          </w:divBdr>
        </w:div>
        <w:div w:id="535626959">
          <w:marLeft w:val="994"/>
          <w:marRight w:val="0"/>
          <w:marTop w:val="0"/>
          <w:marBottom w:val="0"/>
          <w:divBdr>
            <w:top w:val="none" w:sz="0" w:space="0" w:color="auto"/>
            <w:left w:val="none" w:sz="0" w:space="0" w:color="auto"/>
            <w:bottom w:val="none" w:sz="0" w:space="0" w:color="auto"/>
            <w:right w:val="none" w:sz="0" w:space="0" w:color="auto"/>
          </w:divBdr>
        </w:div>
        <w:div w:id="1852796524">
          <w:marLeft w:val="994"/>
          <w:marRight w:val="0"/>
          <w:marTop w:val="0"/>
          <w:marBottom w:val="0"/>
          <w:divBdr>
            <w:top w:val="none" w:sz="0" w:space="0" w:color="auto"/>
            <w:left w:val="none" w:sz="0" w:space="0" w:color="auto"/>
            <w:bottom w:val="none" w:sz="0" w:space="0" w:color="auto"/>
            <w:right w:val="none" w:sz="0" w:space="0" w:color="auto"/>
          </w:divBdr>
        </w:div>
        <w:div w:id="2029716744">
          <w:marLeft w:val="994"/>
          <w:marRight w:val="0"/>
          <w:marTop w:val="0"/>
          <w:marBottom w:val="0"/>
          <w:divBdr>
            <w:top w:val="none" w:sz="0" w:space="0" w:color="auto"/>
            <w:left w:val="none" w:sz="0" w:space="0" w:color="auto"/>
            <w:bottom w:val="none" w:sz="0" w:space="0" w:color="auto"/>
            <w:right w:val="none" w:sz="0" w:space="0" w:color="auto"/>
          </w:divBdr>
        </w:div>
      </w:divsChild>
    </w:div>
    <w:div w:id="2136487194">
      <w:bodyDiv w:val="1"/>
      <w:marLeft w:val="0"/>
      <w:marRight w:val="0"/>
      <w:marTop w:val="0"/>
      <w:marBottom w:val="0"/>
      <w:divBdr>
        <w:top w:val="none" w:sz="0" w:space="0" w:color="auto"/>
        <w:left w:val="none" w:sz="0" w:space="0" w:color="auto"/>
        <w:bottom w:val="none" w:sz="0" w:space="0" w:color="auto"/>
        <w:right w:val="none" w:sz="0" w:space="0" w:color="auto"/>
      </w:divBdr>
    </w:div>
    <w:div w:id="2138720430">
      <w:bodyDiv w:val="1"/>
      <w:marLeft w:val="0"/>
      <w:marRight w:val="0"/>
      <w:marTop w:val="0"/>
      <w:marBottom w:val="0"/>
      <w:divBdr>
        <w:top w:val="none" w:sz="0" w:space="0" w:color="auto"/>
        <w:left w:val="none" w:sz="0" w:space="0" w:color="auto"/>
        <w:bottom w:val="none" w:sz="0" w:space="0" w:color="auto"/>
        <w:right w:val="none" w:sz="0" w:space="0" w:color="auto"/>
      </w:divBdr>
    </w:div>
    <w:div w:id="214080664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planning-infrastructure/health-service-environmental-requirements-and-environmental-management" TargetMode="External"/><Relationship Id="rId18" Type="http://schemas.openxmlformats.org/officeDocument/2006/relationships/hyperlink" Target="https://www.climatechange.vic.gov.au/victorian-government-action-on-climate-change/government-environmental-reporting" TargetMode="External"/><Relationship Id="rId26" Type="http://schemas.openxmlformats.org/officeDocument/2006/relationships/hyperlink" Target="https://ghgprotocol.org" TargetMode="External"/><Relationship Id="rId3" Type="http://schemas.openxmlformats.org/officeDocument/2006/relationships/customXml" Target="../customXml/item3.xml"/><Relationship Id="rId21" Type="http://schemas.openxmlformats.org/officeDocument/2006/relationships/hyperlink" Target="https://www.climatechange.vic.gov.au/victorian-government-action-on-climate-change/government-environmental-reportin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ustainability@health.vic.gov.au" TargetMode="External"/><Relationship Id="rId17" Type="http://schemas.openxmlformats.org/officeDocument/2006/relationships/hyperlink" Target="https://www.dtf.vic.gov.au/financial-reporting-policy/model-report" TargetMode="External"/><Relationship Id="rId25" Type="http://schemas.openxmlformats.org/officeDocument/2006/relationships/hyperlink" Target="http://training.edensuite.com.au/?page_id=2162"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limatechange.vic.gov.au/victorian-government-action-on-climate-change/government-environmental-reporting" TargetMode="External"/><Relationship Id="rId20" Type="http://schemas.openxmlformats.org/officeDocument/2006/relationships/hyperlink" Target="https://www.climatechange.vic.gov.au/victorian-government-action-on-climate-change/government-environmental-reporting" TargetMode="External"/><Relationship Id="rId29" Type="http://schemas.openxmlformats.org/officeDocument/2006/relationships/hyperlink" Target="https://www.climatechange.vic.gov.au/victorian-government-action-on-climate-change/government-environmental-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training.edensuite.com.a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limatechange.vic.gov.au/victorian-government-action-on-climate-change/government-environmental-reporting" TargetMode="External"/><Relationship Id="rId23" Type="http://schemas.openxmlformats.org/officeDocument/2006/relationships/hyperlink" Target="https://dse.edensuite.com.au/cas/login?service=https%3A%2F%2Fdse.edensuite.com.au%2FCarbonInsight%2Fj_spring_cas_security_check" TargetMode="External"/><Relationship Id="rId28" Type="http://schemas.openxmlformats.org/officeDocument/2006/relationships/hyperlink" Target="https://www.globalreporting.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limatechange.vic.gov.au/victorian-government-action-on-climate-change/government-environmental-reporting" TargetMode="External"/><Relationship Id="rId31" Type="http://schemas.openxmlformats.org/officeDocument/2006/relationships/hyperlink" Target="https://www.cleanenergyregulato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gprotocol.org/corporate-standard" TargetMode="External"/><Relationship Id="rId22" Type="http://schemas.openxmlformats.org/officeDocument/2006/relationships/hyperlink" Target="https://www.health.vic.gov.au/planning-infrastructure/environmental-data-management-tools" TargetMode="External"/><Relationship Id="rId27" Type="http://schemas.openxmlformats.org/officeDocument/2006/relationships/hyperlink" Target="https://www.ghgprotocol.org/corporate-standard" TargetMode="External"/><Relationship Id="rId30" Type="http://schemas.openxmlformats.org/officeDocument/2006/relationships/hyperlink" Target="https://www.ghgprotocol.org/"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hba.vic.gov.au/guidelines-sustainability-capital-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800C5A38DC2488B0DA36049F51BA1" ma:contentTypeVersion="19" ma:contentTypeDescription="Create a new document." ma:contentTypeScope="" ma:versionID="a34a9562dabfdae10391b5c275801a00">
  <xsd:schema xmlns:xsd="http://www.w3.org/2001/XMLSchema" xmlns:xs="http://www.w3.org/2001/XMLSchema" xmlns:p="http://schemas.microsoft.com/office/2006/metadata/properties" xmlns:ns2="9c874936-1b7e-4ddd-8e84-d13757395ce1" xmlns:ns3="c378ccb1-c36c-45a5-a9da-958dfb7ff67d" xmlns:ns4="5ce0f2b5-5be5-4508-bce9-d7011ece0659" targetNamespace="http://schemas.microsoft.com/office/2006/metadata/properties" ma:root="true" ma:fieldsID="91fb925a20d8580e0722a8b2e655328b" ns2:_="" ns3:_="" ns4:_="">
    <xsd:import namespace="9c874936-1b7e-4ddd-8e84-d13757395ce1"/>
    <xsd:import namespace="c378ccb1-c36c-45a5-a9da-958dfb7ff67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Location" minOccurs="0"/>
                <xsd:element ref="ns3:Belongsto" minOccurs="0"/>
                <xsd:element ref="ns3: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74936-1b7e-4ddd-8e84-d13757395c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8ccb1-c36c-45a5-a9da-958dfb7ff6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Belongsto" ma:index="24" nillable="true" ma:displayName="Belongs to" ma:format="Dropdown" ma:list="UserInfo" ma:SharePointGroup="0" ma:internalName="Belongs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s" ma:index="25" nillable="true" ma:displayName="Versions" ma:format="Dropdown" ma:internalName="Versions">
      <xsd:simpleType>
        <xsd:restriction base="dms:Choice">
          <xsd:enumeration value="Draft"/>
          <xsd:enumeration value="Pending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3edc11-e23a-4ec8-9c41-172ef267383b}" ma:internalName="TaxCatchAll" ma:showField="CatchAllData" ma:web="9c874936-1b7e-4ddd-8e84-d13757395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378ccb1-c36c-45a5-a9da-958dfb7ff67d">
      <Terms xmlns="http://schemas.microsoft.com/office/infopath/2007/PartnerControls"/>
    </lcf76f155ced4ddcb4097134ff3c332f>
    <Belongsto xmlns="c378ccb1-c36c-45a5-a9da-958dfb7ff67d">
      <UserInfo>
        <DisplayName/>
        <AccountId xsi:nil="true"/>
        <AccountType/>
      </UserInfo>
    </Belongsto>
    <Versions xmlns="c378ccb1-c36c-45a5-a9da-958dfb7ff67d" xsi:nil="true"/>
  </documentManagement>
</p:properties>
</file>

<file path=customXml/itemProps1.xml><?xml version="1.0" encoding="utf-8"?>
<ds:datastoreItem xmlns:ds="http://schemas.openxmlformats.org/officeDocument/2006/customXml" ds:itemID="{F83DE456-9AB6-47B9-9706-9BD193F8F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74936-1b7e-4ddd-8e84-d13757395ce1"/>
    <ds:schemaRef ds:uri="c378ccb1-c36c-45a5-a9da-958dfb7ff67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c378ccb1-c36c-45a5-a9da-958dfb7ff67d"/>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5ce0f2b5-5be5-4508-bce9-d7011ece0659"/>
    <ds:schemaRef ds:uri="9c874936-1b7e-4ddd-8e84-d13757395ce1"/>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43</Pages>
  <Words>10463</Words>
  <Characters>59645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Public environmental reporting guidelines</vt:lpstr>
    </vt:vector>
  </TitlesOfParts>
  <Manager/>
  <Company>Victoria State Government, Department of Health</Company>
  <LinksUpToDate>false</LinksUpToDate>
  <CharactersWithSpaces>69969</CharactersWithSpaces>
  <SharedDoc>false</SharedDoc>
  <HyperlinkBase/>
  <HLinks>
    <vt:vector size="558" baseType="variant">
      <vt:variant>
        <vt:i4>2228277</vt:i4>
      </vt:variant>
      <vt:variant>
        <vt:i4>405</vt:i4>
      </vt:variant>
      <vt:variant>
        <vt:i4>0</vt:i4>
      </vt:variant>
      <vt:variant>
        <vt:i4>5</vt:i4>
      </vt:variant>
      <vt:variant>
        <vt:lpwstr>http://www.cleanenergyregulator.gov.au/</vt:lpwstr>
      </vt:variant>
      <vt:variant>
        <vt:lpwstr/>
      </vt:variant>
      <vt:variant>
        <vt:i4>2752635</vt:i4>
      </vt:variant>
      <vt:variant>
        <vt:i4>402</vt:i4>
      </vt:variant>
      <vt:variant>
        <vt:i4>0</vt:i4>
      </vt:variant>
      <vt:variant>
        <vt:i4>5</vt:i4>
      </vt:variant>
      <vt:variant>
        <vt:lpwstr>http://www.ghgprotocol.org/</vt:lpwstr>
      </vt:variant>
      <vt:variant>
        <vt:lpwstr/>
      </vt:variant>
      <vt:variant>
        <vt:i4>4718684</vt:i4>
      </vt:variant>
      <vt:variant>
        <vt:i4>399</vt:i4>
      </vt:variant>
      <vt:variant>
        <vt:i4>0</vt:i4>
      </vt:variant>
      <vt:variant>
        <vt:i4>5</vt:i4>
      </vt:variant>
      <vt:variant>
        <vt:lpwstr>https://www.climatechange.vic.gov.au/victorian-government-action-on-climate-change/government-environmental-reportingting</vt:lpwstr>
      </vt:variant>
      <vt:variant>
        <vt:lpwstr/>
      </vt:variant>
      <vt:variant>
        <vt:i4>4063295</vt:i4>
      </vt:variant>
      <vt:variant>
        <vt:i4>393</vt:i4>
      </vt:variant>
      <vt:variant>
        <vt:i4>0</vt:i4>
      </vt:variant>
      <vt:variant>
        <vt:i4>5</vt:i4>
      </vt:variant>
      <vt:variant>
        <vt:lpwstr>https://ghgprotocol.org/corporate-standard</vt:lpwstr>
      </vt:variant>
      <vt:variant>
        <vt:lpwstr/>
      </vt:variant>
      <vt:variant>
        <vt:i4>1376321</vt:i4>
      </vt:variant>
      <vt:variant>
        <vt:i4>390</vt:i4>
      </vt:variant>
      <vt:variant>
        <vt:i4>0</vt:i4>
      </vt:variant>
      <vt:variant>
        <vt:i4>5</vt:i4>
      </vt:variant>
      <vt:variant>
        <vt:lpwstr>https://ghgprotocol.org/</vt:lpwstr>
      </vt:variant>
      <vt:variant>
        <vt:lpwstr/>
      </vt:variant>
      <vt:variant>
        <vt:i4>7536644</vt:i4>
      </vt:variant>
      <vt:variant>
        <vt:i4>387</vt:i4>
      </vt:variant>
      <vt:variant>
        <vt:i4>0</vt:i4>
      </vt:variant>
      <vt:variant>
        <vt:i4>5</vt:i4>
      </vt:variant>
      <vt:variant>
        <vt:lpwstr>mailto:environmental.reporting@delwp.vic.gov.au</vt:lpwstr>
      </vt:variant>
      <vt:variant>
        <vt:lpwstr/>
      </vt:variant>
      <vt:variant>
        <vt:i4>6946841</vt:i4>
      </vt:variant>
      <vt:variant>
        <vt:i4>384</vt:i4>
      </vt:variant>
      <vt:variant>
        <vt:i4>0</vt:i4>
      </vt:variant>
      <vt:variant>
        <vt:i4>5</vt:i4>
      </vt:variant>
      <vt:variant>
        <vt:lpwstr>mailto:support@edensuite.com.au</vt:lpwstr>
      </vt:variant>
      <vt:variant>
        <vt:lpwstr/>
      </vt:variant>
      <vt:variant>
        <vt:i4>3014664</vt:i4>
      </vt:variant>
      <vt:variant>
        <vt:i4>381</vt:i4>
      </vt:variant>
      <vt:variant>
        <vt:i4>0</vt:i4>
      </vt:variant>
      <vt:variant>
        <vt:i4>5</vt:i4>
      </vt:variant>
      <vt:variant>
        <vt:lpwstr>mailto:edms@health.vic.gov.au</vt:lpwstr>
      </vt:variant>
      <vt:variant>
        <vt:lpwstr/>
      </vt:variant>
      <vt:variant>
        <vt:i4>5439599</vt:i4>
      </vt:variant>
      <vt:variant>
        <vt:i4>378</vt:i4>
      </vt:variant>
      <vt:variant>
        <vt:i4>0</vt:i4>
      </vt:variant>
      <vt:variant>
        <vt:i4>5</vt:i4>
      </vt:variant>
      <vt:variant>
        <vt:lpwstr>mailto:sustainability@health.vic.gov.au</vt:lpwstr>
      </vt:variant>
      <vt:variant>
        <vt:lpwstr/>
      </vt:variant>
      <vt:variant>
        <vt:i4>7143435</vt:i4>
      </vt:variant>
      <vt:variant>
        <vt:i4>375</vt:i4>
      </vt:variant>
      <vt:variant>
        <vt:i4>0</vt:i4>
      </vt:variant>
      <vt:variant>
        <vt:i4>5</vt:i4>
      </vt:variant>
      <vt:variant>
        <vt:lpwstr>http://training.edensuite.com.au/?page_id=2162</vt:lpwstr>
      </vt:variant>
      <vt:variant>
        <vt:lpwstr/>
      </vt:variant>
      <vt:variant>
        <vt:i4>1704059</vt:i4>
      </vt:variant>
      <vt:variant>
        <vt:i4>372</vt:i4>
      </vt:variant>
      <vt:variant>
        <vt:i4>0</vt:i4>
      </vt:variant>
      <vt:variant>
        <vt:i4>5</vt:i4>
      </vt:variant>
      <vt:variant>
        <vt:lpwstr>https://urldefense.proofpoint.com/v2/url?u=http-3A__training.edensuite.com.au_wp-2Dcontent_uploads_2019_12_AddNewMeasurementDevice-2Dedit.mp4&amp;d=DwMFaQ&amp;c=JnBkUqWXzx2bz-3a05d47Q&amp;r=S8VCYBQWxp6wSwVt046Bn5rdFob8fTwjgtbz9WjUALE&amp;m=6mQWTKEls7F61ackL5YgyYhYAfS5H12XY0zP4dZ04JE&amp;s=2oATFLrwJ54KCEoQH9OCYBmGyYfrpkF6Laj-YBpBQ3c&amp;e=</vt:lpwstr>
      </vt:variant>
      <vt:variant>
        <vt:lpwstr/>
      </vt:variant>
      <vt:variant>
        <vt:i4>4390956</vt:i4>
      </vt:variant>
      <vt:variant>
        <vt:i4>369</vt:i4>
      </vt:variant>
      <vt:variant>
        <vt:i4>0</vt:i4>
      </vt:variant>
      <vt:variant>
        <vt:i4>5</vt:i4>
      </vt:variant>
      <vt:variant>
        <vt:lpwstr>https://urldefense.proofpoint.com/v2/url?u=http-3A__training.edensuite.com.au_wp-2Dcontent_uploads_2019_12_AddData-5FSearchAssetProfile-2DPart-2D02.mp4&amp;d=DwMFaQ&amp;c=JnBkUqWXzx2bz-3a05d47Q&amp;r=S8VCYBQWxp6wSwVt046Bn5rdFob8fTwjgtbz9WjUALE&amp;m=6mQWTKEls7F61ackL5YgyYhYAfS5H12XY0zP4dZ04JE&amp;s=jp6LwvbAwRfa7tGkEM_wVoJAfFB0B2IcOJorbNNDGdI&amp;e=</vt:lpwstr>
      </vt:variant>
      <vt:variant>
        <vt:lpwstr/>
      </vt:variant>
      <vt:variant>
        <vt:i4>4390959</vt:i4>
      </vt:variant>
      <vt:variant>
        <vt:i4>366</vt:i4>
      </vt:variant>
      <vt:variant>
        <vt:i4>0</vt:i4>
      </vt:variant>
      <vt:variant>
        <vt:i4>5</vt:i4>
      </vt:variant>
      <vt:variant>
        <vt:lpwstr>https://urldefense.proofpoint.com/v2/url?u=http-3A__training.edensuite.com.au_wp-2Dcontent_uploads_2019_12_AddData-5FSearchAssetProfile-2DPart-2D01.mp4&amp;d=DwMFaQ&amp;c=JnBkUqWXzx2bz-3a05d47Q&amp;r=S8VCYBQWxp6wSwVt046Bn5rdFob8fTwjgtbz9WjUALE&amp;m=6mQWTKEls7F61ackL5YgyYhYAfS5H12XY0zP4dZ04JE&amp;s=So0-or8bs0c6tpIRH-Ixj93hndf3-fbFqyUFwvXz-5k&amp;e=</vt:lpwstr>
      </vt:variant>
      <vt:variant>
        <vt:lpwstr/>
      </vt:variant>
      <vt:variant>
        <vt:i4>1114227</vt:i4>
      </vt:variant>
      <vt:variant>
        <vt:i4>363</vt:i4>
      </vt:variant>
      <vt:variant>
        <vt:i4>0</vt:i4>
      </vt:variant>
      <vt:variant>
        <vt:i4>5</vt:i4>
      </vt:variant>
      <vt:variant>
        <vt:lpwstr>https://urldefense.proofpoint.com/v2/url?u=http-3A__training.edensuite.com.au_wp-2Dcontent_uploads_2019_12_ConceptsAndTerms.mp4&amp;d=DwMFaQ&amp;c=JnBkUqWXzx2bz-3a05d47Q&amp;r=S8VCYBQWxp6wSwVt046Bn5rdFob8fTwjgtbz9WjUALE&amp;m=6mQWTKEls7F61ackL5YgyYhYAfS5H12XY0zP4dZ04JE&amp;s=Y0UFx2m-xCO0PPhElf0tNSbCMnDYsZXlpRGheiBC72U&amp;e=</vt:lpwstr>
      </vt:variant>
      <vt:variant>
        <vt:lpwstr/>
      </vt:variant>
      <vt:variant>
        <vt:i4>7667808</vt:i4>
      </vt:variant>
      <vt:variant>
        <vt:i4>360</vt:i4>
      </vt:variant>
      <vt:variant>
        <vt:i4>0</vt:i4>
      </vt:variant>
      <vt:variant>
        <vt:i4>5</vt:i4>
      </vt:variant>
      <vt:variant>
        <vt:lpwstr>http://training.edensuite.com.au/wp-content/uploads/2019/12/Navigation.mp4</vt:lpwstr>
      </vt:variant>
      <vt:variant>
        <vt:lpwstr/>
      </vt:variant>
      <vt:variant>
        <vt:i4>7340083</vt:i4>
      </vt:variant>
      <vt:variant>
        <vt:i4>357</vt:i4>
      </vt:variant>
      <vt:variant>
        <vt:i4>0</vt:i4>
      </vt:variant>
      <vt:variant>
        <vt:i4>5</vt:i4>
      </vt:variant>
      <vt:variant>
        <vt:lpwstr>http://training.edensuite.com.au/wp-content/uploads/2020/08/EdenSuite-Guide-Aug20-2.pdf</vt:lpwstr>
      </vt:variant>
      <vt:variant>
        <vt:lpwstr/>
      </vt:variant>
      <vt:variant>
        <vt:i4>65548</vt:i4>
      </vt:variant>
      <vt:variant>
        <vt:i4>354</vt:i4>
      </vt:variant>
      <vt:variant>
        <vt:i4>0</vt:i4>
      </vt:variant>
      <vt:variant>
        <vt:i4>5</vt:i4>
      </vt:variant>
      <vt:variant>
        <vt:lpwstr>http://training.edensuite.com.au/</vt:lpwstr>
      </vt:variant>
      <vt:variant>
        <vt:lpwstr/>
      </vt:variant>
      <vt:variant>
        <vt:i4>6815788</vt:i4>
      </vt:variant>
      <vt:variant>
        <vt:i4>351</vt:i4>
      </vt:variant>
      <vt:variant>
        <vt:i4>0</vt:i4>
      </vt:variant>
      <vt:variant>
        <vt:i4>5</vt:i4>
      </vt:variant>
      <vt:variant>
        <vt:lpwstr>https://dse.edensuite.com.au/cas/login?service=https%3A%2F%2Fdse.edensuite.com.au%2FCarbonInsight%2Fj_spring_cas_security_check</vt:lpwstr>
      </vt:variant>
      <vt:variant>
        <vt:lpwstr/>
      </vt:variant>
      <vt:variant>
        <vt:i4>4653074</vt:i4>
      </vt:variant>
      <vt:variant>
        <vt:i4>348</vt:i4>
      </vt:variant>
      <vt:variant>
        <vt:i4>0</vt:i4>
      </vt:variant>
      <vt:variant>
        <vt:i4>5</vt:i4>
      </vt:variant>
      <vt:variant>
        <vt:lpwstr>https://www.health.vic.gov.au/planning-infrastructure/environmental-data-management-tools</vt:lpwstr>
      </vt:variant>
      <vt:variant>
        <vt:lpwstr/>
      </vt:variant>
      <vt:variant>
        <vt:i4>5374034</vt:i4>
      </vt:variant>
      <vt:variant>
        <vt:i4>345</vt:i4>
      </vt:variant>
      <vt:variant>
        <vt:i4>0</vt:i4>
      </vt:variant>
      <vt:variant>
        <vt:i4>5</vt:i4>
      </vt:variant>
      <vt:variant>
        <vt:lpwstr>https://www.climatechange.vic.gov.au/victorian-government-action-on-climate-change/government-environmental-reporting</vt:lpwstr>
      </vt:variant>
      <vt:variant>
        <vt:lpwstr/>
      </vt:variant>
      <vt:variant>
        <vt:i4>786437</vt:i4>
      </vt:variant>
      <vt:variant>
        <vt:i4>342</vt:i4>
      </vt:variant>
      <vt:variant>
        <vt:i4>0</vt:i4>
      </vt:variant>
      <vt:variant>
        <vt:i4>5</vt:i4>
      </vt:variant>
      <vt:variant>
        <vt:lpwstr>https://au.travelctm.com/contact/</vt:lpwstr>
      </vt:variant>
      <vt:variant>
        <vt:lpwstr/>
      </vt:variant>
      <vt:variant>
        <vt:i4>5898303</vt:i4>
      </vt:variant>
      <vt:variant>
        <vt:i4>339</vt:i4>
      </vt:variant>
      <vt:variant>
        <vt:i4>0</vt:i4>
      </vt:variant>
      <vt:variant>
        <vt:i4>5</vt:i4>
      </vt:variant>
      <vt:variant>
        <vt:lpwstr>mailto:connie.ivanoski@travelctm.com</vt:lpwstr>
      </vt:variant>
      <vt:variant>
        <vt:lpwstr/>
      </vt:variant>
      <vt:variant>
        <vt:i4>7667713</vt:i4>
      </vt:variant>
      <vt:variant>
        <vt:i4>336</vt:i4>
      </vt:variant>
      <vt:variant>
        <vt:i4>0</vt:i4>
      </vt:variant>
      <vt:variant>
        <vt:i4>5</vt:i4>
      </vt:variant>
      <vt:variant>
        <vt:lpwstr/>
      </vt:variant>
      <vt:variant>
        <vt:lpwstr>_Appendix_E:_Medical</vt:lpwstr>
      </vt:variant>
      <vt:variant>
        <vt:i4>5374034</vt:i4>
      </vt:variant>
      <vt:variant>
        <vt:i4>333</vt:i4>
      </vt:variant>
      <vt:variant>
        <vt:i4>0</vt:i4>
      </vt:variant>
      <vt:variant>
        <vt:i4>5</vt:i4>
      </vt:variant>
      <vt:variant>
        <vt:lpwstr>https://www.climatechange.vic.gov.au/victorian-government-action-on-climate-change/government-environmental-reporting</vt:lpwstr>
      </vt:variant>
      <vt:variant>
        <vt:lpwstr/>
      </vt:variant>
      <vt:variant>
        <vt:i4>6881310</vt:i4>
      </vt:variant>
      <vt:variant>
        <vt:i4>330</vt:i4>
      </vt:variant>
      <vt:variant>
        <vt:i4>0</vt:i4>
      </vt:variant>
      <vt:variant>
        <vt:i4>5</vt:i4>
      </vt:variant>
      <vt:variant>
        <vt:lpwstr/>
      </vt:variant>
      <vt:variant>
        <vt:lpwstr>_Appendix_D:_Normalising</vt:lpwstr>
      </vt:variant>
      <vt:variant>
        <vt:i4>786437</vt:i4>
      </vt:variant>
      <vt:variant>
        <vt:i4>327</vt:i4>
      </vt:variant>
      <vt:variant>
        <vt:i4>0</vt:i4>
      </vt:variant>
      <vt:variant>
        <vt:i4>5</vt:i4>
      </vt:variant>
      <vt:variant>
        <vt:lpwstr>https://au.travelctm.com/contact/</vt:lpwstr>
      </vt:variant>
      <vt:variant>
        <vt:lpwstr/>
      </vt:variant>
      <vt:variant>
        <vt:i4>5898303</vt:i4>
      </vt:variant>
      <vt:variant>
        <vt:i4>324</vt:i4>
      </vt:variant>
      <vt:variant>
        <vt:i4>0</vt:i4>
      </vt:variant>
      <vt:variant>
        <vt:i4>5</vt:i4>
      </vt:variant>
      <vt:variant>
        <vt:lpwstr>mailto:connie.ivanoski@travelctm.com</vt:lpwstr>
      </vt:variant>
      <vt:variant>
        <vt:lpwstr/>
      </vt:variant>
      <vt:variant>
        <vt:i4>1835070</vt:i4>
      </vt:variant>
      <vt:variant>
        <vt:i4>321</vt:i4>
      </vt:variant>
      <vt:variant>
        <vt:i4>0</vt:i4>
      </vt:variant>
      <vt:variant>
        <vt:i4>5</vt:i4>
      </vt:variant>
      <vt:variant>
        <vt:lpwstr>mailto:vfcontracts@dtf.vic.gov.au</vt:lpwstr>
      </vt:variant>
      <vt:variant>
        <vt:lpwstr/>
      </vt:variant>
      <vt:variant>
        <vt:i4>5374034</vt:i4>
      </vt:variant>
      <vt:variant>
        <vt:i4>318</vt:i4>
      </vt:variant>
      <vt:variant>
        <vt:i4>0</vt:i4>
      </vt:variant>
      <vt:variant>
        <vt:i4>5</vt:i4>
      </vt:variant>
      <vt:variant>
        <vt:lpwstr>https://www.climatechange.vic.gov.au/victorian-government-action-on-climate-change/government-environmental-reporting</vt:lpwstr>
      </vt:variant>
      <vt:variant>
        <vt:lpwstr/>
      </vt:variant>
      <vt:variant>
        <vt:i4>7667713</vt:i4>
      </vt:variant>
      <vt:variant>
        <vt:i4>312</vt:i4>
      </vt:variant>
      <vt:variant>
        <vt:i4>0</vt:i4>
      </vt:variant>
      <vt:variant>
        <vt:i4>5</vt:i4>
      </vt:variant>
      <vt:variant>
        <vt:lpwstr/>
      </vt:variant>
      <vt:variant>
        <vt:lpwstr>_Appendix_E:_Medical</vt:lpwstr>
      </vt:variant>
      <vt:variant>
        <vt:i4>1835070</vt:i4>
      </vt:variant>
      <vt:variant>
        <vt:i4>309</vt:i4>
      </vt:variant>
      <vt:variant>
        <vt:i4>0</vt:i4>
      </vt:variant>
      <vt:variant>
        <vt:i4>5</vt:i4>
      </vt:variant>
      <vt:variant>
        <vt:lpwstr>mailto:vfcontracts@dtf.vic.gov.au</vt:lpwstr>
      </vt:variant>
      <vt:variant>
        <vt:lpwstr/>
      </vt:variant>
      <vt:variant>
        <vt:i4>65610</vt:i4>
      </vt:variant>
      <vt:variant>
        <vt:i4>306</vt:i4>
      </vt:variant>
      <vt:variant>
        <vt:i4>0</vt:i4>
      </vt:variant>
      <vt:variant>
        <vt:i4>5</vt:i4>
      </vt:variant>
      <vt:variant>
        <vt:lpwstr>mailto:c</vt:lpwstr>
      </vt:variant>
      <vt:variant>
        <vt:lpwstr/>
      </vt:variant>
      <vt:variant>
        <vt:i4>3014664</vt:i4>
      </vt:variant>
      <vt:variant>
        <vt:i4>303</vt:i4>
      </vt:variant>
      <vt:variant>
        <vt:i4>0</vt:i4>
      </vt:variant>
      <vt:variant>
        <vt:i4>5</vt:i4>
      </vt:variant>
      <vt:variant>
        <vt:lpwstr>mailto:edms@health.vic.gov.au</vt:lpwstr>
      </vt:variant>
      <vt:variant>
        <vt:lpwstr/>
      </vt:variant>
      <vt:variant>
        <vt:i4>7667713</vt:i4>
      </vt:variant>
      <vt:variant>
        <vt:i4>300</vt:i4>
      </vt:variant>
      <vt:variant>
        <vt:i4>0</vt:i4>
      </vt:variant>
      <vt:variant>
        <vt:i4>5</vt:i4>
      </vt:variant>
      <vt:variant>
        <vt:lpwstr/>
      </vt:variant>
      <vt:variant>
        <vt:lpwstr>_Appendix_E:_Medical</vt:lpwstr>
      </vt:variant>
      <vt:variant>
        <vt:i4>3014664</vt:i4>
      </vt:variant>
      <vt:variant>
        <vt:i4>297</vt:i4>
      </vt:variant>
      <vt:variant>
        <vt:i4>0</vt:i4>
      </vt:variant>
      <vt:variant>
        <vt:i4>5</vt:i4>
      </vt:variant>
      <vt:variant>
        <vt:lpwstr>mailto:edms@health.vic.gov.au</vt:lpwstr>
      </vt:variant>
      <vt:variant>
        <vt:lpwstr/>
      </vt:variant>
      <vt:variant>
        <vt:i4>3539008</vt:i4>
      </vt:variant>
      <vt:variant>
        <vt:i4>294</vt:i4>
      </vt:variant>
      <vt:variant>
        <vt:i4>0</vt:i4>
      </vt:variant>
      <vt:variant>
        <vt:i4>5</vt:i4>
      </vt:variant>
      <vt:variant>
        <vt:lpwstr>mailto:helpdesk@healthsharevic.org.au</vt:lpwstr>
      </vt:variant>
      <vt:variant>
        <vt:lpwstr/>
      </vt:variant>
      <vt:variant>
        <vt:i4>4718684</vt:i4>
      </vt:variant>
      <vt:variant>
        <vt:i4>291</vt:i4>
      </vt:variant>
      <vt:variant>
        <vt:i4>0</vt:i4>
      </vt:variant>
      <vt:variant>
        <vt:i4>5</vt:i4>
      </vt:variant>
      <vt:variant>
        <vt:lpwstr>https://www.climatechange.vic.gov.au/victorian-government-action-on-climate-change/government-environmental-reportingting</vt:lpwstr>
      </vt:variant>
      <vt:variant>
        <vt:lpwstr/>
      </vt:variant>
      <vt:variant>
        <vt:i4>5374034</vt:i4>
      </vt:variant>
      <vt:variant>
        <vt:i4>288</vt:i4>
      </vt:variant>
      <vt:variant>
        <vt:i4>0</vt:i4>
      </vt:variant>
      <vt:variant>
        <vt:i4>5</vt:i4>
      </vt:variant>
      <vt:variant>
        <vt:lpwstr>https://www.climatechange.vic.gov.au/victorian-government-action-on-climate-change/government-environmental-reporting</vt:lpwstr>
      </vt:variant>
      <vt:variant>
        <vt:lpwstr/>
      </vt:variant>
      <vt:variant>
        <vt:i4>6881310</vt:i4>
      </vt:variant>
      <vt:variant>
        <vt:i4>285</vt:i4>
      </vt:variant>
      <vt:variant>
        <vt:i4>0</vt:i4>
      </vt:variant>
      <vt:variant>
        <vt:i4>5</vt:i4>
      </vt:variant>
      <vt:variant>
        <vt:lpwstr/>
      </vt:variant>
      <vt:variant>
        <vt:lpwstr>_Appendix_D:_Normalising</vt:lpwstr>
      </vt:variant>
      <vt:variant>
        <vt:i4>5374034</vt:i4>
      </vt:variant>
      <vt:variant>
        <vt:i4>282</vt:i4>
      </vt:variant>
      <vt:variant>
        <vt:i4>0</vt:i4>
      </vt:variant>
      <vt:variant>
        <vt:i4>5</vt:i4>
      </vt:variant>
      <vt:variant>
        <vt:lpwstr>https://www.climatechange.vic.gov.au/victorian-government-action-on-climate-change/government-environmental-reporting</vt:lpwstr>
      </vt:variant>
      <vt:variant>
        <vt:lpwstr/>
      </vt:variant>
      <vt:variant>
        <vt:i4>7667832</vt:i4>
      </vt:variant>
      <vt:variant>
        <vt:i4>279</vt:i4>
      </vt:variant>
      <vt:variant>
        <vt:i4>0</vt:i4>
      </vt:variant>
      <vt:variant>
        <vt:i4>5</vt:i4>
      </vt:variant>
      <vt:variant>
        <vt:lpwstr>https://www.dtf.vic.gov.au/financial-reporting-policy/model-report</vt:lpwstr>
      </vt:variant>
      <vt:variant>
        <vt:lpwstr/>
      </vt:variant>
      <vt:variant>
        <vt:i4>5374034</vt:i4>
      </vt:variant>
      <vt:variant>
        <vt:i4>276</vt:i4>
      </vt:variant>
      <vt:variant>
        <vt:i4>0</vt:i4>
      </vt:variant>
      <vt:variant>
        <vt:i4>5</vt:i4>
      </vt:variant>
      <vt:variant>
        <vt:lpwstr>https://www.climatechange.vic.gov.au/victorian-government-action-on-climate-change/government-environmental-reporting</vt:lpwstr>
      </vt:variant>
      <vt:variant>
        <vt:lpwstr/>
      </vt:variant>
      <vt:variant>
        <vt:i4>5374034</vt:i4>
      </vt:variant>
      <vt:variant>
        <vt:i4>273</vt:i4>
      </vt:variant>
      <vt:variant>
        <vt:i4>0</vt:i4>
      </vt:variant>
      <vt:variant>
        <vt:i4>5</vt:i4>
      </vt:variant>
      <vt:variant>
        <vt:lpwstr>https://www.climatechange.vic.gov.au/victorian-government-action-on-climate-change/government-environmental-reporting</vt:lpwstr>
      </vt:variant>
      <vt:variant>
        <vt:lpwstr/>
      </vt:variant>
      <vt:variant>
        <vt:i4>1835126</vt:i4>
      </vt:variant>
      <vt:variant>
        <vt:i4>270</vt:i4>
      </vt:variant>
      <vt:variant>
        <vt:i4>0</vt:i4>
      </vt:variant>
      <vt:variant>
        <vt:i4>5</vt:i4>
      </vt:variant>
      <vt:variant>
        <vt:lpwstr/>
      </vt:variant>
      <vt:variant>
        <vt:lpwstr>_Appendix_C:_Organisational</vt:lpwstr>
      </vt:variant>
      <vt:variant>
        <vt:i4>5374034</vt:i4>
      </vt:variant>
      <vt:variant>
        <vt:i4>267</vt:i4>
      </vt:variant>
      <vt:variant>
        <vt:i4>0</vt:i4>
      </vt:variant>
      <vt:variant>
        <vt:i4>5</vt:i4>
      </vt:variant>
      <vt:variant>
        <vt:lpwstr>https://www.climatechange.vic.gov.au/victorian-government-action-on-climate-change/government-environmental-reporting</vt:lpwstr>
      </vt:variant>
      <vt:variant>
        <vt:lpwstr/>
      </vt:variant>
      <vt:variant>
        <vt:i4>7667736</vt:i4>
      </vt:variant>
      <vt:variant>
        <vt:i4>264</vt:i4>
      </vt:variant>
      <vt:variant>
        <vt:i4>0</vt:i4>
      </vt:variant>
      <vt:variant>
        <vt:i4>5</vt:i4>
      </vt:variant>
      <vt:variant>
        <vt:lpwstr/>
      </vt:variant>
      <vt:variant>
        <vt:lpwstr>_2.10._Simple_disclosure</vt:lpwstr>
      </vt:variant>
      <vt:variant>
        <vt:i4>852091</vt:i4>
      </vt:variant>
      <vt:variant>
        <vt:i4>261</vt:i4>
      </vt:variant>
      <vt:variant>
        <vt:i4>0</vt:i4>
      </vt:variant>
      <vt:variant>
        <vt:i4>5</vt:i4>
      </vt:variant>
      <vt:variant>
        <vt:lpwstr/>
      </vt:variant>
      <vt:variant>
        <vt:lpwstr>_Appendix_B:_Reporting</vt:lpwstr>
      </vt:variant>
      <vt:variant>
        <vt:i4>7667736</vt:i4>
      </vt:variant>
      <vt:variant>
        <vt:i4>258</vt:i4>
      </vt:variant>
      <vt:variant>
        <vt:i4>0</vt:i4>
      </vt:variant>
      <vt:variant>
        <vt:i4>5</vt:i4>
      </vt:variant>
      <vt:variant>
        <vt:lpwstr/>
      </vt:variant>
      <vt:variant>
        <vt:lpwstr>_2.10._Simple_disclosure</vt:lpwstr>
      </vt:variant>
      <vt:variant>
        <vt:i4>4063295</vt:i4>
      </vt:variant>
      <vt:variant>
        <vt:i4>255</vt:i4>
      </vt:variant>
      <vt:variant>
        <vt:i4>0</vt:i4>
      </vt:variant>
      <vt:variant>
        <vt:i4>5</vt:i4>
      </vt:variant>
      <vt:variant>
        <vt:lpwstr>https://ghgprotocol.org/corporate-standard</vt:lpwstr>
      </vt:variant>
      <vt:variant>
        <vt:lpwstr/>
      </vt:variant>
      <vt:variant>
        <vt:i4>655483</vt:i4>
      </vt:variant>
      <vt:variant>
        <vt:i4>252</vt:i4>
      </vt:variant>
      <vt:variant>
        <vt:i4>0</vt:i4>
      </vt:variant>
      <vt:variant>
        <vt:i4>5</vt:i4>
      </vt:variant>
      <vt:variant>
        <vt:lpwstr/>
      </vt:variant>
      <vt:variant>
        <vt:lpwstr>_Appendix_A:_Scope</vt:lpwstr>
      </vt:variant>
      <vt:variant>
        <vt:i4>4587640</vt:i4>
      </vt:variant>
      <vt:variant>
        <vt:i4>249</vt:i4>
      </vt:variant>
      <vt:variant>
        <vt:i4>0</vt:i4>
      </vt:variant>
      <vt:variant>
        <vt:i4>5</vt:i4>
      </vt:variant>
      <vt:variant>
        <vt:lpwstr/>
      </vt:variant>
      <vt:variant>
        <vt:lpwstr>_5.1._Useful_resources</vt:lpwstr>
      </vt:variant>
      <vt:variant>
        <vt:i4>4587640</vt:i4>
      </vt:variant>
      <vt:variant>
        <vt:i4>246</vt:i4>
      </vt:variant>
      <vt:variant>
        <vt:i4>0</vt:i4>
      </vt:variant>
      <vt:variant>
        <vt:i4>5</vt:i4>
      </vt:variant>
      <vt:variant>
        <vt:lpwstr/>
      </vt:variant>
      <vt:variant>
        <vt:lpwstr>_5.1._Useful_resources</vt:lpwstr>
      </vt:variant>
      <vt:variant>
        <vt:i4>1114166</vt:i4>
      </vt:variant>
      <vt:variant>
        <vt:i4>239</vt:i4>
      </vt:variant>
      <vt:variant>
        <vt:i4>0</vt:i4>
      </vt:variant>
      <vt:variant>
        <vt:i4>5</vt:i4>
      </vt:variant>
      <vt:variant>
        <vt:lpwstr/>
      </vt:variant>
      <vt:variant>
        <vt:lpwstr>_Toc136959453</vt:lpwstr>
      </vt:variant>
      <vt:variant>
        <vt:i4>1114166</vt:i4>
      </vt:variant>
      <vt:variant>
        <vt:i4>233</vt:i4>
      </vt:variant>
      <vt:variant>
        <vt:i4>0</vt:i4>
      </vt:variant>
      <vt:variant>
        <vt:i4>5</vt:i4>
      </vt:variant>
      <vt:variant>
        <vt:lpwstr/>
      </vt:variant>
      <vt:variant>
        <vt:lpwstr>_Toc136959452</vt:lpwstr>
      </vt:variant>
      <vt:variant>
        <vt:i4>1048630</vt:i4>
      </vt:variant>
      <vt:variant>
        <vt:i4>227</vt:i4>
      </vt:variant>
      <vt:variant>
        <vt:i4>0</vt:i4>
      </vt:variant>
      <vt:variant>
        <vt:i4>5</vt:i4>
      </vt:variant>
      <vt:variant>
        <vt:lpwstr/>
      </vt:variant>
      <vt:variant>
        <vt:lpwstr>_Toc136959447</vt:lpwstr>
      </vt:variant>
      <vt:variant>
        <vt:i4>1048630</vt:i4>
      </vt:variant>
      <vt:variant>
        <vt:i4>221</vt:i4>
      </vt:variant>
      <vt:variant>
        <vt:i4>0</vt:i4>
      </vt:variant>
      <vt:variant>
        <vt:i4>5</vt:i4>
      </vt:variant>
      <vt:variant>
        <vt:lpwstr/>
      </vt:variant>
      <vt:variant>
        <vt:lpwstr>_Toc136959446</vt:lpwstr>
      </vt:variant>
      <vt:variant>
        <vt:i4>1048630</vt:i4>
      </vt:variant>
      <vt:variant>
        <vt:i4>215</vt:i4>
      </vt:variant>
      <vt:variant>
        <vt:i4>0</vt:i4>
      </vt:variant>
      <vt:variant>
        <vt:i4>5</vt:i4>
      </vt:variant>
      <vt:variant>
        <vt:lpwstr/>
      </vt:variant>
      <vt:variant>
        <vt:lpwstr>_Toc136959445</vt:lpwstr>
      </vt:variant>
      <vt:variant>
        <vt:i4>1048630</vt:i4>
      </vt:variant>
      <vt:variant>
        <vt:i4>209</vt:i4>
      </vt:variant>
      <vt:variant>
        <vt:i4>0</vt:i4>
      </vt:variant>
      <vt:variant>
        <vt:i4>5</vt:i4>
      </vt:variant>
      <vt:variant>
        <vt:lpwstr/>
      </vt:variant>
      <vt:variant>
        <vt:lpwstr>_Toc136959444</vt:lpwstr>
      </vt:variant>
      <vt:variant>
        <vt:i4>1048630</vt:i4>
      </vt:variant>
      <vt:variant>
        <vt:i4>203</vt:i4>
      </vt:variant>
      <vt:variant>
        <vt:i4>0</vt:i4>
      </vt:variant>
      <vt:variant>
        <vt:i4>5</vt:i4>
      </vt:variant>
      <vt:variant>
        <vt:lpwstr/>
      </vt:variant>
      <vt:variant>
        <vt:lpwstr>_Toc136959443</vt:lpwstr>
      </vt:variant>
      <vt:variant>
        <vt:i4>1048630</vt:i4>
      </vt:variant>
      <vt:variant>
        <vt:i4>197</vt:i4>
      </vt:variant>
      <vt:variant>
        <vt:i4>0</vt:i4>
      </vt:variant>
      <vt:variant>
        <vt:i4>5</vt:i4>
      </vt:variant>
      <vt:variant>
        <vt:lpwstr/>
      </vt:variant>
      <vt:variant>
        <vt:lpwstr>_Toc136959442</vt:lpwstr>
      </vt:variant>
      <vt:variant>
        <vt:i4>1048630</vt:i4>
      </vt:variant>
      <vt:variant>
        <vt:i4>191</vt:i4>
      </vt:variant>
      <vt:variant>
        <vt:i4>0</vt:i4>
      </vt:variant>
      <vt:variant>
        <vt:i4>5</vt:i4>
      </vt:variant>
      <vt:variant>
        <vt:lpwstr/>
      </vt:variant>
      <vt:variant>
        <vt:lpwstr>_Toc136959441</vt:lpwstr>
      </vt:variant>
      <vt:variant>
        <vt:i4>1048630</vt:i4>
      </vt:variant>
      <vt:variant>
        <vt:i4>185</vt:i4>
      </vt:variant>
      <vt:variant>
        <vt:i4>0</vt:i4>
      </vt:variant>
      <vt:variant>
        <vt:i4>5</vt:i4>
      </vt:variant>
      <vt:variant>
        <vt:lpwstr/>
      </vt:variant>
      <vt:variant>
        <vt:lpwstr>_Toc136959440</vt:lpwstr>
      </vt:variant>
      <vt:variant>
        <vt:i4>1507382</vt:i4>
      </vt:variant>
      <vt:variant>
        <vt:i4>179</vt:i4>
      </vt:variant>
      <vt:variant>
        <vt:i4>0</vt:i4>
      </vt:variant>
      <vt:variant>
        <vt:i4>5</vt:i4>
      </vt:variant>
      <vt:variant>
        <vt:lpwstr/>
      </vt:variant>
      <vt:variant>
        <vt:lpwstr>_Toc136959439</vt:lpwstr>
      </vt:variant>
      <vt:variant>
        <vt:i4>1507382</vt:i4>
      </vt:variant>
      <vt:variant>
        <vt:i4>173</vt:i4>
      </vt:variant>
      <vt:variant>
        <vt:i4>0</vt:i4>
      </vt:variant>
      <vt:variant>
        <vt:i4>5</vt:i4>
      </vt:variant>
      <vt:variant>
        <vt:lpwstr/>
      </vt:variant>
      <vt:variant>
        <vt:lpwstr>_Toc136959438</vt:lpwstr>
      </vt:variant>
      <vt:variant>
        <vt:i4>1507382</vt:i4>
      </vt:variant>
      <vt:variant>
        <vt:i4>167</vt:i4>
      </vt:variant>
      <vt:variant>
        <vt:i4>0</vt:i4>
      </vt:variant>
      <vt:variant>
        <vt:i4>5</vt:i4>
      </vt:variant>
      <vt:variant>
        <vt:lpwstr/>
      </vt:variant>
      <vt:variant>
        <vt:lpwstr>_Toc136959437</vt:lpwstr>
      </vt:variant>
      <vt:variant>
        <vt:i4>1507382</vt:i4>
      </vt:variant>
      <vt:variant>
        <vt:i4>161</vt:i4>
      </vt:variant>
      <vt:variant>
        <vt:i4>0</vt:i4>
      </vt:variant>
      <vt:variant>
        <vt:i4>5</vt:i4>
      </vt:variant>
      <vt:variant>
        <vt:lpwstr/>
      </vt:variant>
      <vt:variant>
        <vt:lpwstr>_Toc136959436</vt:lpwstr>
      </vt:variant>
      <vt:variant>
        <vt:i4>1507382</vt:i4>
      </vt:variant>
      <vt:variant>
        <vt:i4>155</vt:i4>
      </vt:variant>
      <vt:variant>
        <vt:i4>0</vt:i4>
      </vt:variant>
      <vt:variant>
        <vt:i4>5</vt:i4>
      </vt:variant>
      <vt:variant>
        <vt:lpwstr/>
      </vt:variant>
      <vt:variant>
        <vt:lpwstr>_Toc136959435</vt:lpwstr>
      </vt:variant>
      <vt:variant>
        <vt:i4>1507382</vt:i4>
      </vt:variant>
      <vt:variant>
        <vt:i4>149</vt:i4>
      </vt:variant>
      <vt:variant>
        <vt:i4>0</vt:i4>
      </vt:variant>
      <vt:variant>
        <vt:i4>5</vt:i4>
      </vt:variant>
      <vt:variant>
        <vt:lpwstr/>
      </vt:variant>
      <vt:variant>
        <vt:lpwstr>_Toc136959434</vt:lpwstr>
      </vt:variant>
      <vt:variant>
        <vt:i4>1507382</vt:i4>
      </vt:variant>
      <vt:variant>
        <vt:i4>143</vt:i4>
      </vt:variant>
      <vt:variant>
        <vt:i4>0</vt:i4>
      </vt:variant>
      <vt:variant>
        <vt:i4>5</vt:i4>
      </vt:variant>
      <vt:variant>
        <vt:lpwstr/>
      </vt:variant>
      <vt:variant>
        <vt:lpwstr>_Toc136959433</vt:lpwstr>
      </vt:variant>
      <vt:variant>
        <vt:i4>1507382</vt:i4>
      </vt:variant>
      <vt:variant>
        <vt:i4>137</vt:i4>
      </vt:variant>
      <vt:variant>
        <vt:i4>0</vt:i4>
      </vt:variant>
      <vt:variant>
        <vt:i4>5</vt:i4>
      </vt:variant>
      <vt:variant>
        <vt:lpwstr/>
      </vt:variant>
      <vt:variant>
        <vt:lpwstr>_Toc136959432</vt:lpwstr>
      </vt:variant>
      <vt:variant>
        <vt:i4>1507382</vt:i4>
      </vt:variant>
      <vt:variant>
        <vt:i4>131</vt:i4>
      </vt:variant>
      <vt:variant>
        <vt:i4>0</vt:i4>
      </vt:variant>
      <vt:variant>
        <vt:i4>5</vt:i4>
      </vt:variant>
      <vt:variant>
        <vt:lpwstr/>
      </vt:variant>
      <vt:variant>
        <vt:lpwstr>_Toc136959431</vt:lpwstr>
      </vt:variant>
      <vt:variant>
        <vt:i4>1507382</vt:i4>
      </vt:variant>
      <vt:variant>
        <vt:i4>125</vt:i4>
      </vt:variant>
      <vt:variant>
        <vt:i4>0</vt:i4>
      </vt:variant>
      <vt:variant>
        <vt:i4>5</vt:i4>
      </vt:variant>
      <vt:variant>
        <vt:lpwstr/>
      </vt:variant>
      <vt:variant>
        <vt:lpwstr>_Toc136959430</vt:lpwstr>
      </vt:variant>
      <vt:variant>
        <vt:i4>1441846</vt:i4>
      </vt:variant>
      <vt:variant>
        <vt:i4>119</vt:i4>
      </vt:variant>
      <vt:variant>
        <vt:i4>0</vt:i4>
      </vt:variant>
      <vt:variant>
        <vt:i4>5</vt:i4>
      </vt:variant>
      <vt:variant>
        <vt:lpwstr/>
      </vt:variant>
      <vt:variant>
        <vt:lpwstr>_Toc136959429</vt:lpwstr>
      </vt:variant>
      <vt:variant>
        <vt:i4>1441846</vt:i4>
      </vt:variant>
      <vt:variant>
        <vt:i4>113</vt:i4>
      </vt:variant>
      <vt:variant>
        <vt:i4>0</vt:i4>
      </vt:variant>
      <vt:variant>
        <vt:i4>5</vt:i4>
      </vt:variant>
      <vt:variant>
        <vt:lpwstr/>
      </vt:variant>
      <vt:variant>
        <vt:lpwstr>_Toc136959428</vt:lpwstr>
      </vt:variant>
      <vt:variant>
        <vt:i4>1441846</vt:i4>
      </vt:variant>
      <vt:variant>
        <vt:i4>107</vt:i4>
      </vt:variant>
      <vt:variant>
        <vt:i4>0</vt:i4>
      </vt:variant>
      <vt:variant>
        <vt:i4>5</vt:i4>
      </vt:variant>
      <vt:variant>
        <vt:lpwstr/>
      </vt:variant>
      <vt:variant>
        <vt:lpwstr>_Toc136959427</vt:lpwstr>
      </vt:variant>
      <vt:variant>
        <vt:i4>1441846</vt:i4>
      </vt:variant>
      <vt:variant>
        <vt:i4>101</vt:i4>
      </vt:variant>
      <vt:variant>
        <vt:i4>0</vt:i4>
      </vt:variant>
      <vt:variant>
        <vt:i4>5</vt:i4>
      </vt:variant>
      <vt:variant>
        <vt:lpwstr/>
      </vt:variant>
      <vt:variant>
        <vt:lpwstr>_Toc136959426</vt:lpwstr>
      </vt:variant>
      <vt:variant>
        <vt:i4>1441846</vt:i4>
      </vt:variant>
      <vt:variant>
        <vt:i4>95</vt:i4>
      </vt:variant>
      <vt:variant>
        <vt:i4>0</vt:i4>
      </vt:variant>
      <vt:variant>
        <vt:i4>5</vt:i4>
      </vt:variant>
      <vt:variant>
        <vt:lpwstr/>
      </vt:variant>
      <vt:variant>
        <vt:lpwstr>_Toc136959425</vt:lpwstr>
      </vt:variant>
      <vt:variant>
        <vt:i4>1441846</vt:i4>
      </vt:variant>
      <vt:variant>
        <vt:i4>89</vt:i4>
      </vt:variant>
      <vt:variant>
        <vt:i4>0</vt:i4>
      </vt:variant>
      <vt:variant>
        <vt:i4>5</vt:i4>
      </vt:variant>
      <vt:variant>
        <vt:lpwstr/>
      </vt:variant>
      <vt:variant>
        <vt:lpwstr>_Toc136959424</vt:lpwstr>
      </vt:variant>
      <vt:variant>
        <vt:i4>1441846</vt:i4>
      </vt:variant>
      <vt:variant>
        <vt:i4>83</vt:i4>
      </vt:variant>
      <vt:variant>
        <vt:i4>0</vt:i4>
      </vt:variant>
      <vt:variant>
        <vt:i4>5</vt:i4>
      </vt:variant>
      <vt:variant>
        <vt:lpwstr/>
      </vt:variant>
      <vt:variant>
        <vt:lpwstr>_Toc136959423</vt:lpwstr>
      </vt:variant>
      <vt:variant>
        <vt:i4>1441846</vt:i4>
      </vt:variant>
      <vt:variant>
        <vt:i4>77</vt:i4>
      </vt:variant>
      <vt:variant>
        <vt:i4>0</vt:i4>
      </vt:variant>
      <vt:variant>
        <vt:i4>5</vt:i4>
      </vt:variant>
      <vt:variant>
        <vt:lpwstr/>
      </vt:variant>
      <vt:variant>
        <vt:lpwstr>_Toc136959422</vt:lpwstr>
      </vt:variant>
      <vt:variant>
        <vt:i4>1441846</vt:i4>
      </vt:variant>
      <vt:variant>
        <vt:i4>71</vt:i4>
      </vt:variant>
      <vt:variant>
        <vt:i4>0</vt:i4>
      </vt:variant>
      <vt:variant>
        <vt:i4>5</vt:i4>
      </vt:variant>
      <vt:variant>
        <vt:lpwstr/>
      </vt:variant>
      <vt:variant>
        <vt:lpwstr>_Toc136959421</vt:lpwstr>
      </vt:variant>
      <vt:variant>
        <vt:i4>1441846</vt:i4>
      </vt:variant>
      <vt:variant>
        <vt:i4>65</vt:i4>
      </vt:variant>
      <vt:variant>
        <vt:i4>0</vt:i4>
      </vt:variant>
      <vt:variant>
        <vt:i4>5</vt:i4>
      </vt:variant>
      <vt:variant>
        <vt:lpwstr/>
      </vt:variant>
      <vt:variant>
        <vt:lpwstr>_Toc136959420</vt:lpwstr>
      </vt:variant>
      <vt:variant>
        <vt:i4>1376310</vt:i4>
      </vt:variant>
      <vt:variant>
        <vt:i4>59</vt:i4>
      </vt:variant>
      <vt:variant>
        <vt:i4>0</vt:i4>
      </vt:variant>
      <vt:variant>
        <vt:i4>5</vt:i4>
      </vt:variant>
      <vt:variant>
        <vt:lpwstr/>
      </vt:variant>
      <vt:variant>
        <vt:lpwstr>_Toc136959419</vt:lpwstr>
      </vt:variant>
      <vt:variant>
        <vt:i4>1376310</vt:i4>
      </vt:variant>
      <vt:variant>
        <vt:i4>53</vt:i4>
      </vt:variant>
      <vt:variant>
        <vt:i4>0</vt:i4>
      </vt:variant>
      <vt:variant>
        <vt:i4>5</vt:i4>
      </vt:variant>
      <vt:variant>
        <vt:lpwstr/>
      </vt:variant>
      <vt:variant>
        <vt:lpwstr>_Toc136959418</vt:lpwstr>
      </vt:variant>
      <vt:variant>
        <vt:i4>1376310</vt:i4>
      </vt:variant>
      <vt:variant>
        <vt:i4>47</vt:i4>
      </vt:variant>
      <vt:variant>
        <vt:i4>0</vt:i4>
      </vt:variant>
      <vt:variant>
        <vt:i4>5</vt:i4>
      </vt:variant>
      <vt:variant>
        <vt:lpwstr/>
      </vt:variant>
      <vt:variant>
        <vt:lpwstr>_Toc136959417</vt:lpwstr>
      </vt:variant>
      <vt:variant>
        <vt:i4>1376310</vt:i4>
      </vt:variant>
      <vt:variant>
        <vt:i4>41</vt:i4>
      </vt:variant>
      <vt:variant>
        <vt:i4>0</vt:i4>
      </vt:variant>
      <vt:variant>
        <vt:i4>5</vt:i4>
      </vt:variant>
      <vt:variant>
        <vt:lpwstr/>
      </vt:variant>
      <vt:variant>
        <vt:lpwstr>_Toc136959416</vt:lpwstr>
      </vt:variant>
      <vt:variant>
        <vt:i4>1376310</vt:i4>
      </vt:variant>
      <vt:variant>
        <vt:i4>35</vt:i4>
      </vt:variant>
      <vt:variant>
        <vt:i4>0</vt:i4>
      </vt:variant>
      <vt:variant>
        <vt:i4>5</vt:i4>
      </vt:variant>
      <vt:variant>
        <vt:lpwstr/>
      </vt:variant>
      <vt:variant>
        <vt:lpwstr>_Toc136959415</vt:lpwstr>
      </vt:variant>
      <vt:variant>
        <vt:i4>1376310</vt:i4>
      </vt:variant>
      <vt:variant>
        <vt:i4>29</vt:i4>
      </vt:variant>
      <vt:variant>
        <vt:i4>0</vt:i4>
      </vt:variant>
      <vt:variant>
        <vt:i4>5</vt:i4>
      </vt:variant>
      <vt:variant>
        <vt:lpwstr/>
      </vt:variant>
      <vt:variant>
        <vt:lpwstr>_Toc136959414</vt:lpwstr>
      </vt:variant>
      <vt:variant>
        <vt:i4>1376310</vt:i4>
      </vt:variant>
      <vt:variant>
        <vt:i4>23</vt:i4>
      </vt:variant>
      <vt:variant>
        <vt:i4>0</vt:i4>
      </vt:variant>
      <vt:variant>
        <vt:i4>5</vt:i4>
      </vt:variant>
      <vt:variant>
        <vt:lpwstr/>
      </vt:variant>
      <vt:variant>
        <vt:lpwstr>_Toc136959413</vt:lpwstr>
      </vt:variant>
      <vt:variant>
        <vt:i4>1376310</vt:i4>
      </vt:variant>
      <vt:variant>
        <vt:i4>17</vt:i4>
      </vt:variant>
      <vt:variant>
        <vt:i4>0</vt:i4>
      </vt:variant>
      <vt:variant>
        <vt:i4>5</vt:i4>
      </vt:variant>
      <vt:variant>
        <vt:lpwstr/>
      </vt:variant>
      <vt:variant>
        <vt:lpwstr>_Toc136959412</vt:lpwstr>
      </vt:variant>
      <vt:variant>
        <vt:i4>1376310</vt:i4>
      </vt:variant>
      <vt:variant>
        <vt:i4>11</vt:i4>
      </vt:variant>
      <vt:variant>
        <vt:i4>0</vt:i4>
      </vt:variant>
      <vt:variant>
        <vt:i4>5</vt:i4>
      </vt:variant>
      <vt:variant>
        <vt:lpwstr/>
      </vt:variant>
      <vt:variant>
        <vt:lpwstr>_Toc136959411</vt:lpwstr>
      </vt:variant>
      <vt:variant>
        <vt:i4>1376310</vt:i4>
      </vt:variant>
      <vt:variant>
        <vt:i4>5</vt:i4>
      </vt:variant>
      <vt:variant>
        <vt:i4>0</vt:i4>
      </vt:variant>
      <vt:variant>
        <vt:i4>5</vt:i4>
      </vt:variant>
      <vt:variant>
        <vt:lpwstr/>
      </vt:variant>
      <vt:variant>
        <vt:lpwstr>_Toc136959410</vt:lpwstr>
      </vt:variant>
      <vt:variant>
        <vt:i4>7340101</vt:i4>
      </vt:variant>
      <vt:variant>
        <vt:i4>0</vt:i4>
      </vt:variant>
      <vt:variant>
        <vt:i4>0</vt:i4>
      </vt:variant>
      <vt:variant>
        <vt:i4>5</vt:i4>
      </vt:variant>
      <vt:variant>
        <vt:lpwstr/>
      </vt:variant>
      <vt:variant>
        <vt:lpwstr>_3.3._Environmental_indicators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environmental reporting guidelines</dc:title>
  <dc:subject>Public environmental reporting guidelines</dc:subject>
  <dc:creator>Department of Health</dc:creator>
  <cp:keywords>reporting; environmental indicators; factors; emissions; data; climate change</cp:keywords>
  <dc:description/>
  <cp:lastModifiedBy>Ivan Popovic (Health)</cp:lastModifiedBy>
  <cp:revision>390</cp:revision>
  <cp:lastPrinted>2023-06-15T03:16:00Z</cp:lastPrinted>
  <dcterms:created xsi:type="dcterms:W3CDTF">2023-06-13T04:07:00Z</dcterms:created>
  <dcterms:modified xsi:type="dcterms:W3CDTF">2023-07-03T07:30:00Z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0x0101004AF800C5A38DC2488B0DA36049F51BA1</vt:lpwstr>
  </property>
  <property fmtid="{D5CDD505-2E9C-101B-9397-08002B2CF9AE}" pid="4" name="version">
    <vt:lpwstr>v5 15032021</vt:lpwstr>
  </property>
  <property fmtid="{D5CDD505-2E9C-101B-9397-08002B2CF9AE}" pid="5" name="Order">
    <vt:i4>2700</vt:i4>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Days before next review">
    <vt:i4>365</vt:i4>
  </property>
  <property fmtid="{D5CDD505-2E9C-101B-9397-08002B2CF9AE}" pid="14" name="_ExtendedDescription">
    <vt:lpwstr/>
  </property>
  <property fmtid="{D5CDD505-2E9C-101B-9397-08002B2CF9AE}" pid="15" name="Tags">
    <vt:lpwstr>17;#Templates|74cf097d-f69e-47d4-ab23-b0e64f517102</vt:lpwstr>
  </property>
  <property fmtid="{D5CDD505-2E9C-101B-9397-08002B2CF9AE}" pid="16" name="MediaServiceImageTags">
    <vt:lpwstr/>
  </property>
  <property fmtid="{D5CDD505-2E9C-101B-9397-08002B2CF9AE}" pid="17" name="MSIP_Label_43e64453-338c-4f93-8a4d-0039a0a41f2a_SetDate">
    <vt:lpwstr>2023-05-11T05:22:45Z</vt:lpwstr>
  </property>
  <property fmtid="{D5CDD505-2E9C-101B-9397-08002B2CF9AE}" pid="18" name="MSIP_Label_43e64453-338c-4f93-8a4d-0039a0a41f2a_ActionId">
    <vt:lpwstr>a65c5125-1d58-4392-a5d2-51cdccf9c087</vt:lpwstr>
  </property>
  <property fmtid="{D5CDD505-2E9C-101B-9397-08002B2CF9AE}" pid="19" name="MSIP_Label_efdf5488-3066-4b6c-8fea-9472b8a1f34c_Enabled">
    <vt:lpwstr>true</vt:lpwstr>
  </property>
  <property fmtid="{D5CDD505-2E9C-101B-9397-08002B2CF9AE}" pid="20" name="MSIP_Label_efdf5488-3066-4b6c-8fea-9472b8a1f34c_SetDate">
    <vt:lpwstr>2023-05-11T05:22:14Z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fe10212f-96cb-4e6c-94ac-f4762438e2d9</vt:lpwstr>
  </property>
  <property fmtid="{D5CDD505-2E9C-101B-9397-08002B2CF9AE}" pid="25" name="MSIP_Label_efdf5488-3066-4b6c-8fea-9472b8a1f34c_ContentBits">
    <vt:lpwstr>0</vt:lpwstr>
  </property>
</Properties>
</file>