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18E9E1BA" w:rsidR="0074696E" w:rsidRPr="004C6EEE" w:rsidRDefault="00904AB4" w:rsidP="00EC40D5">
      <w:pPr>
        <w:pStyle w:val="Sectionbreakfirstpage"/>
      </w:pPr>
      <w:r>
        <w:drawing>
          <wp:anchor distT="0" distB="0" distL="114300" distR="114300" simplePos="0" relativeHeight="251658240" behindDoc="1" locked="1" layoutInCell="1" allowOverlap="0" wp14:anchorId="268A5F94" wp14:editId="258165E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00B07FF7">
        <w:trPr>
          <w:trHeight w:val="622"/>
        </w:trPr>
        <w:tc>
          <w:tcPr>
            <w:tcW w:w="10348" w:type="dxa"/>
            <w:tcMar>
              <w:top w:w="1531" w:type="dxa"/>
              <w:left w:w="0" w:type="dxa"/>
              <w:right w:w="0" w:type="dxa"/>
            </w:tcMar>
          </w:tcPr>
          <w:p w14:paraId="2A0E5E52" w14:textId="2E10EF6E" w:rsidR="003B5733" w:rsidRPr="003B5733" w:rsidRDefault="00E650FC" w:rsidP="003B5733">
            <w:pPr>
              <w:pStyle w:val="Documenttitle"/>
            </w:pPr>
            <w:r>
              <w:t>Readiness self-assessment tool</w:t>
            </w:r>
          </w:p>
        </w:tc>
      </w:tr>
      <w:tr w:rsidR="003B5733" w14:paraId="560FBDF0" w14:textId="77777777" w:rsidTr="00B07FF7">
        <w:tc>
          <w:tcPr>
            <w:tcW w:w="10348" w:type="dxa"/>
          </w:tcPr>
          <w:p w14:paraId="711537EF" w14:textId="2227041E" w:rsidR="003B5733" w:rsidRPr="00A1389F" w:rsidRDefault="00E650FC" w:rsidP="005F44C0">
            <w:pPr>
              <w:pStyle w:val="Documentsubtitle"/>
            </w:pPr>
            <w:r>
              <w:t>Planned surgery access policy 2024</w:t>
            </w:r>
          </w:p>
        </w:tc>
      </w:tr>
      <w:tr w:rsidR="003B5733" w14:paraId="726305CB" w14:textId="77777777" w:rsidTr="00B07FF7">
        <w:tc>
          <w:tcPr>
            <w:tcW w:w="10348" w:type="dxa"/>
          </w:tcPr>
          <w:p w14:paraId="34F6929B" w14:textId="77777777" w:rsidR="003B5733" w:rsidRPr="001E5058" w:rsidRDefault="00000000" w:rsidP="001E5058">
            <w:pPr>
              <w:pStyle w:val="Bannermarking"/>
            </w:pPr>
            <w:fldSimple w:instr=" FILLIN  &quot;Type the protective marking&quot; \d OFFICIAL \o  \* MERGEFORMAT ">
              <w:r w:rsidR="00A633C9">
                <w:t>OFFICIAL</w:t>
              </w:r>
            </w:fldSimple>
          </w:p>
        </w:tc>
      </w:tr>
    </w:tbl>
    <w:p w14:paraId="5BE23382" w14:textId="77777777" w:rsidR="00AD784C" w:rsidRPr="00B57329" w:rsidRDefault="00AD784C" w:rsidP="002365B4">
      <w:pPr>
        <w:pStyle w:val="TOCheadingfactsheet"/>
      </w:pPr>
      <w:r w:rsidRPr="00B57329">
        <w:t>Contents</w:t>
      </w:r>
    </w:p>
    <w:p w14:paraId="08563C30" w14:textId="090572CD" w:rsidR="003317A4"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69700548" w:history="1">
        <w:r w:rsidR="003317A4" w:rsidRPr="00964C60">
          <w:rPr>
            <w:rStyle w:val="Hyperlink"/>
          </w:rPr>
          <w:t>Introduction</w:t>
        </w:r>
        <w:r w:rsidR="003317A4">
          <w:rPr>
            <w:webHidden/>
          </w:rPr>
          <w:tab/>
        </w:r>
        <w:r w:rsidR="003317A4">
          <w:rPr>
            <w:webHidden/>
          </w:rPr>
          <w:fldChar w:fldCharType="begin"/>
        </w:r>
        <w:r w:rsidR="003317A4">
          <w:rPr>
            <w:webHidden/>
          </w:rPr>
          <w:instrText xml:space="preserve"> PAGEREF _Toc169700548 \h </w:instrText>
        </w:r>
        <w:r w:rsidR="003317A4">
          <w:rPr>
            <w:webHidden/>
          </w:rPr>
        </w:r>
        <w:r w:rsidR="003317A4">
          <w:rPr>
            <w:webHidden/>
          </w:rPr>
          <w:fldChar w:fldCharType="separate"/>
        </w:r>
        <w:r w:rsidR="003317A4">
          <w:rPr>
            <w:webHidden/>
          </w:rPr>
          <w:t>1</w:t>
        </w:r>
        <w:r w:rsidR="003317A4">
          <w:rPr>
            <w:webHidden/>
          </w:rPr>
          <w:fldChar w:fldCharType="end"/>
        </w:r>
      </w:hyperlink>
    </w:p>
    <w:p w14:paraId="6F4FA479" w14:textId="6510EE7E" w:rsidR="003317A4" w:rsidRDefault="00000000">
      <w:pPr>
        <w:pStyle w:val="TOC2"/>
        <w:rPr>
          <w:rFonts w:asciiTheme="minorHAnsi" w:eastAsiaTheme="minorEastAsia" w:hAnsiTheme="minorHAnsi" w:cstheme="minorBidi"/>
          <w:kern w:val="2"/>
          <w:sz w:val="24"/>
          <w:szCs w:val="24"/>
          <w:lang w:eastAsia="en-AU"/>
          <w14:ligatures w14:val="standardContextual"/>
        </w:rPr>
      </w:pPr>
      <w:hyperlink w:anchor="_Toc169700549" w:history="1">
        <w:r w:rsidR="003317A4" w:rsidRPr="00964C60">
          <w:rPr>
            <w:rStyle w:val="Hyperlink"/>
            <w:bCs/>
          </w:rPr>
          <w:t>About this readiness self-assessment tool</w:t>
        </w:r>
        <w:r w:rsidR="003317A4">
          <w:rPr>
            <w:webHidden/>
          </w:rPr>
          <w:tab/>
        </w:r>
        <w:r w:rsidR="003317A4">
          <w:rPr>
            <w:webHidden/>
          </w:rPr>
          <w:fldChar w:fldCharType="begin"/>
        </w:r>
        <w:r w:rsidR="003317A4">
          <w:rPr>
            <w:webHidden/>
          </w:rPr>
          <w:instrText xml:space="preserve"> PAGEREF _Toc169700549 \h </w:instrText>
        </w:r>
        <w:r w:rsidR="003317A4">
          <w:rPr>
            <w:webHidden/>
          </w:rPr>
        </w:r>
        <w:r w:rsidR="003317A4">
          <w:rPr>
            <w:webHidden/>
          </w:rPr>
          <w:fldChar w:fldCharType="separate"/>
        </w:r>
        <w:r w:rsidR="003317A4">
          <w:rPr>
            <w:webHidden/>
          </w:rPr>
          <w:t>2</w:t>
        </w:r>
        <w:r w:rsidR="003317A4">
          <w:rPr>
            <w:webHidden/>
          </w:rPr>
          <w:fldChar w:fldCharType="end"/>
        </w:r>
      </w:hyperlink>
    </w:p>
    <w:p w14:paraId="5D65A825" w14:textId="35BD0F42" w:rsidR="003317A4" w:rsidRDefault="00000000">
      <w:pPr>
        <w:pStyle w:val="TOC2"/>
        <w:rPr>
          <w:rFonts w:asciiTheme="minorHAnsi" w:eastAsiaTheme="minorEastAsia" w:hAnsiTheme="minorHAnsi" w:cstheme="minorBidi"/>
          <w:kern w:val="2"/>
          <w:sz w:val="24"/>
          <w:szCs w:val="24"/>
          <w:lang w:eastAsia="en-AU"/>
          <w14:ligatures w14:val="standardContextual"/>
        </w:rPr>
      </w:pPr>
      <w:hyperlink w:anchor="_Toc169700550" w:history="1">
        <w:r w:rsidR="003317A4" w:rsidRPr="00964C60">
          <w:rPr>
            <w:rStyle w:val="Hyperlink"/>
            <w:rFonts w:eastAsia="Times"/>
          </w:rPr>
          <w:t>Rating scale</w:t>
        </w:r>
        <w:r w:rsidR="003317A4">
          <w:rPr>
            <w:webHidden/>
          </w:rPr>
          <w:tab/>
        </w:r>
        <w:r w:rsidR="003317A4">
          <w:rPr>
            <w:webHidden/>
          </w:rPr>
          <w:fldChar w:fldCharType="begin"/>
        </w:r>
        <w:r w:rsidR="003317A4">
          <w:rPr>
            <w:webHidden/>
          </w:rPr>
          <w:instrText xml:space="preserve"> PAGEREF _Toc169700550 \h </w:instrText>
        </w:r>
        <w:r w:rsidR="003317A4">
          <w:rPr>
            <w:webHidden/>
          </w:rPr>
        </w:r>
        <w:r w:rsidR="003317A4">
          <w:rPr>
            <w:webHidden/>
          </w:rPr>
          <w:fldChar w:fldCharType="separate"/>
        </w:r>
        <w:r w:rsidR="003317A4">
          <w:rPr>
            <w:webHidden/>
          </w:rPr>
          <w:t>2</w:t>
        </w:r>
        <w:r w:rsidR="003317A4">
          <w:rPr>
            <w:webHidden/>
          </w:rPr>
          <w:fldChar w:fldCharType="end"/>
        </w:r>
      </w:hyperlink>
    </w:p>
    <w:p w14:paraId="1FF08CC1" w14:textId="67C86262" w:rsidR="003317A4" w:rsidRDefault="00000000">
      <w:pPr>
        <w:pStyle w:val="TOC2"/>
        <w:rPr>
          <w:rFonts w:asciiTheme="minorHAnsi" w:eastAsiaTheme="minorEastAsia" w:hAnsiTheme="minorHAnsi" w:cstheme="minorBidi"/>
          <w:kern w:val="2"/>
          <w:sz w:val="24"/>
          <w:szCs w:val="24"/>
          <w:lang w:eastAsia="en-AU"/>
          <w14:ligatures w14:val="standardContextual"/>
        </w:rPr>
      </w:pPr>
      <w:hyperlink w:anchor="_Toc169700551" w:history="1">
        <w:r w:rsidR="003317A4" w:rsidRPr="00964C60">
          <w:rPr>
            <w:rStyle w:val="Hyperlink"/>
          </w:rPr>
          <w:t>Readiness self-assessment tool</w:t>
        </w:r>
        <w:r w:rsidR="003317A4">
          <w:rPr>
            <w:webHidden/>
          </w:rPr>
          <w:tab/>
        </w:r>
        <w:r w:rsidR="003317A4">
          <w:rPr>
            <w:webHidden/>
          </w:rPr>
          <w:fldChar w:fldCharType="begin"/>
        </w:r>
        <w:r w:rsidR="003317A4">
          <w:rPr>
            <w:webHidden/>
          </w:rPr>
          <w:instrText xml:space="preserve"> PAGEREF _Toc169700551 \h </w:instrText>
        </w:r>
        <w:r w:rsidR="003317A4">
          <w:rPr>
            <w:webHidden/>
          </w:rPr>
        </w:r>
        <w:r w:rsidR="003317A4">
          <w:rPr>
            <w:webHidden/>
          </w:rPr>
          <w:fldChar w:fldCharType="separate"/>
        </w:r>
        <w:r w:rsidR="003317A4">
          <w:rPr>
            <w:webHidden/>
          </w:rPr>
          <w:t>4</w:t>
        </w:r>
        <w:r w:rsidR="003317A4">
          <w:rPr>
            <w:webHidden/>
          </w:rPr>
          <w:fldChar w:fldCharType="end"/>
        </w:r>
      </w:hyperlink>
    </w:p>
    <w:p w14:paraId="17099F00" w14:textId="6A547E82" w:rsidR="007173CA" w:rsidRDefault="00AD784C" w:rsidP="00D079AA">
      <w:pPr>
        <w:pStyle w:val="Body"/>
      </w:pPr>
      <w:r>
        <w:fldChar w:fldCharType="end"/>
      </w:r>
    </w:p>
    <w:p w14:paraId="6725854F"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25781E63" w14:textId="77777777" w:rsidR="00F32368" w:rsidRPr="00F32368" w:rsidRDefault="00F32368" w:rsidP="00F32368">
      <w:pPr>
        <w:pStyle w:val="Body"/>
      </w:pPr>
      <w:bookmarkStart w:id="0" w:name="_Hlk41913885"/>
    </w:p>
    <w:bookmarkEnd w:id="0"/>
    <w:p w14:paraId="039373AE" w14:textId="21D2A8A2" w:rsidR="00A74917" w:rsidRPr="0055119B" w:rsidRDefault="00E650FC" w:rsidP="00A74917">
      <w:pPr>
        <w:pStyle w:val="Accessibilitypara"/>
      </w:pPr>
      <w:r>
        <w:t>The Department of Health (the department) has developed this</w:t>
      </w:r>
      <w:r w:rsidRPr="004E6565">
        <w:t xml:space="preserve"> </w:t>
      </w:r>
      <w:r>
        <w:t xml:space="preserve">readiness assessment tool and an implementation tracker </w:t>
      </w:r>
      <w:r w:rsidRPr="004E6565">
        <w:t xml:space="preserve">to support health services </w:t>
      </w:r>
      <w:r>
        <w:t xml:space="preserve">with implementation to </w:t>
      </w:r>
      <w:r w:rsidRPr="004F1202">
        <w:rPr>
          <w:b/>
          <w:bCs/>
        </w:rPr>
        <w:t>meet all the requirements of the</w:t>
      </w:r>
      <w:r w:rsidRPr="004F1202">
        <w:rPr>
          <w:b/>
          <w:bCs/>
          <w:i/>
          <w:iCs/>
        </w:rPr>
        <w:t xml:space="preserve"> </w:t>
      </w:r>
      <w:r w:rsidRPr="004F1202">
        <w:rPr>
          <w:b/>
          <w:bCs/>
        </w:rPr>
        <w:t xml:space="preserve">policy </w:t>
      </w:r>
      <w:r w:rsidRPr="004F1202">
        <w:rPr>
          <w:rStyle w:val="normaltextrun"/>
          <w:rFonts w:cs="Arial"/>
          <w:b/>
          <w:bCs/>
          <w:color w:val="000000"/>
          <w:szCs w:val="21"/>
          <w:shd w:val="clear" w:color="auto" w:fill="FFFFFF"/>
        </w:rPr>
        <w:t>by June 2026</w:t>
      </w:r>
      <w:r>
        <w:rPr>
          <w:rStyle w:val="normaltextrun"/>
          <w:rFonts w:cs="Arial"/>
          <w:color w:val="000000"/>
          <w:szCs w:val="21"/>
          <w:shd w:val="clear" w:color="auto" w:fill="FFFFFF"/>
        </w:rPr>
        <w:t xml:space="preserve">. </w:t>
      </w:r>
      <w:r>
        <w:t>These</w:t>
      </w:r>
      <w:r w:rsidRPr="004E6565">
        <w:t xml:space="preserve"> too</w:t>
      </w:r>
      <w:r>
        <w:t>ls</w:t>
      </w:r>
      <w:r w:rsidRPr="004E6565">
        <w:t xml:space="preserve"> aim to support the identification of good practice in action, areas needing improvement and actions that will be undertaken to meet expectations of the policy.</w:t>
      </w:r>
      <w:r>
        <w:t xml:space="preserve"> </w:t>
      </w:r>
      <w:r w:rsidRPr="001B0A4F">
        <w:t xml:space="preserve">If you have any </w:t>
      </w:r>
      <w:r>
        <w:t>questions about these tools,</w:t>
      </w:r>
      <w:r w:rsidRPr="001B0A4F">
        <w:t xml:space="preserve"> please contact </w:t>
      </w:r>
      <w:hyperlink r:id="rId16" w:history="1">
        <w:r w:rsidRPr="004D5FB5">
          <w:rPr>
            <w:rStyle w:val="Hyperlink"/>
            <w:rFonts w:cs="Arial"/>
          </w:rPr>
          <w:t>healthservicesimprovement@health.vic.gov.au</w:t>
        </w:r>
      </w:hyperlink>
      <w:r w:rsidR="00A63CC6">
        <w:rPr>
          <w:rStyle w:val="Hyperlink"/>
          <w:rFonts w:cs="Arial"/>
        </w:rPr>
        <w:t>.</w:t>
      </w:r>
    </w:p>
    <w:p w14:paraId="1A9D8818" w14:textId="4AC9964E" w:rsidR="00855920" w:rsidRDefault="00855920" w:rsidP="00824747">
      <w:pPr>
        <w:pStyle w:val="Body"/>
        <w:ind w:left="284"/>
      </w:pPr>
    </w:p>
    <w:p w14:paraId="7212CFA3" w14:textId="77777777" w:rsidR="00E650FC" w:rsidRPr="00E650FC" w:rsidRDefault="00E650FC" w:rsidP="00824747">
      <w:pPr>
        <w:pStyle w:val="Heading1"/>
        <w:ind w:left="284"/>
      </w:pPr>
      <w:bookmarkStart w:id="1" w:name="_Toc169700548"/>
      <w:r w:rsidRPr="00E650FC">
        <w:t>Introduction</w:t>
      </w:r>
      <w:bookmarkEnd w:id="1"/>
    </w:p>
    <w:p w14:paraId="547D2508" w14:textId="77777777" w:rsidR="00824747" w:rsidRPr="00857325" w:rsidRDefault="00824747" w:rsidP="00824747">
      <w:pPr>
        <w:ind w:left="284"/>
        <w:rPr>
          <w:rFonts w:eastAsia="Times" w:cs="Arial"/>
          <w:szCs w:val="21"/>
        </w:rPr>
      </w:pPr>
      <w:r w:rsidRPr="00857325">
        <w:rPr>
          <w:rFonts w:eastAsia="Times" w:cs="Arial"/>
          <w:szCs w:val="21"/>
        </w:rPr>
        <w:t xml:space="preserve">Planned surgery </w:t>
      </w:r>
      <w:r>
        <w:rPr>
          <w:rFonts w:eastAsia="Times" w:cs="Arial"/>
          <w:szCs w:val="21"/>
        </w:rPr>
        <w:t>is central to</w:t>
      </w:r>
      <w:r w:rsidRPr="00857325">
        <w:rPr>
          <w:rFonts w:eastAsia="Times" w:cs="Arial"/>
          <w:szCs w:val="21"/>
        </w:rPr>
        <w:t xml:space="preserve"> Victoria's healthcare system</w:t>
      </w:r>
      <w:r>
        <w:rPr>
          <w:rFonts w:eastAsia="Times" w:cs="Arial"/>
          <w:szCs w:val="21"/>
        </w:rPr>
        <w:t>. It</w:t>
      </w:r>
      <w:r w:rsidRPr="00857325">
        <w:rPr>
          <w:rFonts w:eastAsia="Times" w:cs="Arial"/>
          <w:szCs w:val="21"/>
        </w:rPr>
        <w:t xml:space="preserve"> </w:t>
      </w:r>
      <w:r>
        <w:rPr>
          <w:rFonts w:eastAsia="Times" w:cs="Arial"/>
          <w:szCs w:val="21"/>
        </w:rPr>
        <w:t>provides</w:t>
      </w:r>
      <w:r w:rsidRPr="00857325">
        <w:rPr>
          <w:rFonts w:eastAsia="Times" w:cs="Arial"/>
          <w:szCs w:val="21"/>
        </w:rPr>
        <w:t xml:space="preserve"> essential care that </w:t>
      </w:r>
      <w:r>
        <w:rPr>
          <w:rFonts w:eastAsia="Times" w:cs="Arial"/>
          <w:szCs w:val="21"/>
        </w:rPr>
        <w:t>improves</w:t>
      </w:r>
      <w:r w:rsidRPr="00857325">
        <w:rPr>
          <w:rFonts w:eastAsia="Times" w:cs="Arial"/>
          <w:szCs w:val="21"/>
        </w:rPr>
        <w:t xml:space="preserve"> the quality of life for</w:t>
      </w:r>
      <w:r>
        <w:rPr>
          <w:rFonts w:eastAsia="Times" w:cs="Arial"/>
          <w:szCs w:val="21"/>
        </w:rPr>
        <w:t xml:space="preserve"> tens of</w:t>
      </w:r>
      <w:r w:rsidRPr="00857325">
        <w:rPr>
          <w:rFonts w:eastAsia="Times" w:cs="Arial"/>
          <w:szCs w:val="21"/>
        </w:rPr>
        <w:t xml:space="preserve"> </w:t>
      </w:r>
      <w:r>
        <w:rPr>
          <w:rFonts w:eastAsia="Times" w:cs="Arial"/>
          <w:szCs w:val="21"/>
        </w:rPr>
        <w:t>thousands of</w:t>
      </w:r>
      <w:r w:rsidRPr="00857325">
        <w:rPr>
          <w:rFonts w:eastAsia="Times" w:cs="Arial"/>
          <w:szCs w:val="21"/>
        </w:rPr>
        <w:t xml:space="preserve"> Victorians each year.</w:t>
      </w:r>
    </w:p>
    <w:p w14:paraId="60028503" w14:textId="77777777" w:rsidR="00824747" w:rsidRPr="00857325" w:rsidRDefault="00824747" w:rsidP="00824747">
      <w:pPr>
        <w:ind w:left="284"/>
        <w:rPr>
          <w:rFonts w:eastAsia="Times" w:cs="Arial"/>
          <w:szCs w:val="21"/>
        </w:rPr>
      </w:pPr>
      <w:r>
        <w:rPr>
          <w:rFonts w:eastAsia="Times" w:cs="Arial"/>
          <w:szCs w:val="21"/>
        </w:rPr>
        <w:t>The Victorian Government wants to maintain</w:t>
      </w:r>
      <w:r w:rsidRPr="00857325">
        <w:rPr>
          <w:rFonts w:eastAsia="Times" w:cs="Arial"/>
          <w:szCs w:val="21"/>
        </w:rPr>
        <w:t xml:space="preserve"> and improv</w:t>
      </w:r>
      <w:r>
        <w:rPr>
          <w:rFonts w:eastAsia="Times" w:cs="Arial"/>
          <w:szCs w:val="21"/>
        </w:rPr>
        <w:t>e</w:t>
      </w:r>
      <w:r w:rsidRPr="00857325">
        <w:rPr>
          <w:rFonts w:eastAsia="Times" w:cs="Arial"/>
          <w:szCs w:val="21"/>
        </w:rPr>
        <w:t xml:space="preserve"> equitable access to high-quality planned surgery. </w:t>
      </w:r>
      <w:r>
        <w:rPr>
          <w:rFonts w:eastAsia="Times" w:cs="Arial"/>
          <w:szCs w:val="21"/>
        </w:rPr>
        <w:t xml:space="preserve">To achieve this, we are undertaking local </w:t>
      </w:r>
      <w:r w:rsidRPr="00857325">
        <w:rPr>
          <w:rFonts w:eastAsia="Times" w:cs="Arial"/>
          <w:szCs w:val="21"/>
        </w:rPr>
        <w:t xml:space="preserve">reforms and </w:t>
      </w:r>
      <w:r>
        <w:rPr>
          <w:rFonts w:eastAsia="Times" w:cs="Arial"/>
          <w:szCs w:val="21"/>
        </w:rPr>
        <w:t xml:space="preserve">making </w:t>
      </w:r>
      <w:r w:rsidRPr="00857325">
        <w:rPr>
          <w:rFonts w:eastAsia="Times" w:cs="Arial"/>
          <w:szCs w:val="21"/>
        </w:rPr>
        <w:t xml:space="preserve">broader investments in </w:t>
      </w:r>
      <w:r>
        <w:rPr>
          <w:rFonts w:eastAsia="Times" w:cs="Arial"/>
          <w:szCs w:val="21"/>
        </w:rPr>
        <w:t>surgery with a focus on</w:t>
      </w:r>
      <w:r w:rsidRPr="00857325">
        <w:rPr>
          <w:rFonts w:eastAsia="Times" w:cs="Arial"/>
          <w:szCs w:val="21"/>
        </w:rPr>
        <w:t xml:space="preserve"> </w:t>
      </w:r>
      <w:r>
        <w:rPr>
          <w:rFonts w:eastAsia="Times" w:cs="Arial"/>
          <w:szCs w:val="21"/>
        </w:rPr>
        <w:t>ensuring</w:t>
      </w:r>
      <w:r w:rsidRPr="00857325">
        <w:rPr>
          <w:rFonts w:eastAsia="Times" w:cs="Arial"/>
          <w:szCs w:val="21"/>
        </w:rPr>
        <w:t xml:space="preserve"> </w:t>
      </w:r>
      <w:r>
        <w:rPr>
          <w:rFonts w:eastAsia="Times" w:cs="Arial"/>
          <w:szCs w:val="21"/>
        </w:rPr>
        <w:t>the</w:t>
      </w:r>
      <w:r w:rsidRPr="00857325">
        <w:rPr>
          <w:rFonts w:eastAsia="Times" w:cs="Arial"/>
          <w:szCs w:val="21"/>
        </w:rPr>
        <w:t xml:space="preserve"> planned surgery system can withstand ongoing pressures</w:t>
      </w:r>
      <w:r>
        <w:rPr>
          <w:rFonts w:eastAsia="Times" w:cs="Arial"/>
          <w:szCs w:val="21"/>
        </w:rPr>
        <w:t xml:space="preserve">. We want to make sure we can </w:t>
      </w:r>
      <w:r w:rsidRPr="00857325">
        <w:rPr>
          <w:rFonts w:eastAsia="Times" w:cs="Arial"/>
          <w:szCs w:val="21"/>
        </w:rPr>
        <w:t>deliv</w:t>
      </w:r>
      <w:r>
        <w:rPr>
          <w:rFonts w:eastAsia="Times" w:cs="Arial"/>
          <w:szCs w:val="21"/>
        </w:rPr>
        <w:t>er</w:t>
      </w:r>
      <w:r w:rsidRPr="00857325">
        <w:rPr>
          <w:rFonts w:eastAsia="Times" w:cs="Arial"/>
          <w:szCs w:val="21"/>
        </w:rPr>
        <w:t xml:space="preserve"> timely and high-quality care into the future.</w:t>
      </w:r>
    </w:p>
    <w:p w14:paraId="5BB5AD83" w14:textId="77777777" w:rsidR="00824747" w:rsidRPr="007F200B" w:rsidRDefault="00824747" w:rsidP="00824747">
      <w:pPr>
        <w:pStyle w:val="Body"/>
        <w:ind w:left="284"/>
      </w:pPr>
      <w:r>
        <w:t xml:space="preserve">The </w:t>
      </w:r>
      <w:hyperlink r:id="rId17">
        <w:r w:rsidRPr="575F0D1B">
          <w:rPr>
            <w:rStyle w:val="Hyperlink"/>
          </w:rPr>
          <w:t xml:space="preserve">Planned </w:t>
        </w:r>
        <w:r>
          <w:rPr>
            <w:rStyle w:val="Hyperlink"/>
          </w:rPr>
          <w:t>s</w:t>
        </w:r>
        <w:r w:rsidRPr="575F0D1B">
          <w:rPr>
            <w:rStyle w:val="Hyperlink"/>
          </w:rPr>
          <w:t xml:space="preserve">urgery </w:t>
        </w:r>
        <w:r>
          <w:rPr>
            <w:rStyle w:val="Hyperlink"/>
          </w:rPr>
          <w:t>a</w:t>
        </w:r>
        <w:r w:rsidRPr="575F0D1B">
          <w:rPr>
            <w:rStyle w:val="Hyperlink"/>
          </w:rPr>
          <w:t xml:space="preserve">ccess </w:t>
        </w:r>
        <w:r>
          <w:rPr>
            <w:rStyle w:val="Hyperlink"/>
          </w:rPr>
          <w:t>p</w:t>
        </w:r>
        <w:r w:rsidRPr="575F0D1B">
          <w:rPr>
            <w:rStyle w:val="Hyperlink"/>
          </w:rPr>
          <w:t>olicy 2024</w:t>
        </w:r>
      </w:hyperlink>
      <w:r>
        <w:t xml:space="preserve"> &lt;</w:t>
      </w:r>
      <w:r w:rsidRPr="00FF410B">
        <w:t>https://www.health.vic.gov.au/patient-care/surgical-services-policies-and-guides</w:t>
      </w:r>
      <w:r>
        <w:t xml:space="preserve">&gt; outlines the department’s expectations regarding access to planned surgery and procedures. </w:t>
      </w:r>
      <w:r w:rsidRPr="007F200B">
        <w:t>This policy replaces the 2015 publication Elective surgery access policy.</w:t>
      </w:r>
    </w:p>
    <w:p w14:paraId="63CE6A3B" w14:textId="77777777" w:rsidR="00824747" w:rsidRDefault="00824747" w:rsidP="00824747">
      <w:pPr>
        <w:pStyle w:val="Body"/>
        <w:ind w:left="284"/>
      </w:pPr>
      <w:r>
        <w:t xml:space="preserve">To implement the policy health services should: </w:t>
      </w:r>
    </w:p>
    <w:p w14:paraId="00CE4C01" w14:textId="77777777" w:rsidR="00824747" w:rsidRDefault="00824747" w:rsidP="00824747">
      <w:pPr>
        <w:pStyle w:val="Bullet1"/>
        <w:ind w:firstLine="0"/>
      </w:pPr>
      <w:r>
        <w:t>develop local policies, protocols and procedures that align with the requirements of this policy</w:t>
      </w:r>
    </w:p>
    <w:p w14:paraId="05466B6E" w14:textId="77777777" w:rsidR="00824747" w:rsidRDefault="00824747" w:rsidP="00824747">
      <w:pPr>
        <w:pStyle w:val="Bullet1"/>
        <w:ind w:firstLine="0"/>
      </w:pPr>
      <w:r>
        <w:t>identify the health service staff responsible for performing the tasks required by the policy</w:t>
      </w:r>
    </w:p>
    <w:p w14:paraId="7993FCC0" w14:textId="77777777" w:rsidR="00824747" w:rsidRDefault="00824747" w:rsidP="00824747">
      <w:pPr>
        <w:pStyle w:val="Bullet1"/>
        <w:ind w:firstLine="0"/>
      </w:pPr>
      <w:r>
        <w:t>provide training and education programs for staff who manage the access to planned surgery</w:t>
      </w:r>
    </w:p>
    <w:p w14:paraId="6FDEB645" w14:textId="2CCA46A9" w:rsidR="00457FC3" w:rsidRDefault="00824747" w:rsidP="00824747">
      <w:pPr>
        <w:pStyle w:val="Bullet1"/>
        <w:ind w:firstLine="0"/>
      </w:pPr>
      <w:r>
        <w:t>monitor the health service’s performance against the policy, particularly new policy requirements.</w:t>
      </w:r>
    </w:p>
    <w:p w14:paraId="53180761" w14:textId="77777777" w:rsidR="00824747" w:rsidRDefault="00824747" w:rsidP="00824747">
      <w:pPr>
        <w:pStyle w:val="Bullet1"/>
        <w:numPr>
          <w:ilvl w:val="0"/>
          <w:numId w:val="0"/>
        </w:numPr>
        <w:ind w:left="284"/>
      </w:pPr>
    </w:p>
    <w:p w14:paraId="654094F4" w14:textId="70FB32F4" w:rsidR="00E650FC" w:rsidRPr="00E650FC" w:rsidRDefault="00E650FC" w:rsidP="00824747">
      <w:pPr>
        <w:pStyle w:val="Heading2"/>
        <w:ind w:left="284"/>
        <w:rPr>
          <w:bCs/>
        </w:rPr>
      </w:pPr>
      <w:bookmarkStart w:id="2" w:name="_Toc169700549"/>
      <w:r w:rsidRPr="00E650FC">
        <w:rPr>
          <w:bCs/>
        </w:rPr>
        <w:lastRenderedPageBreak/>
        <w:t>About this readiness self-assessment tool</w:t>
      </w:r>
      <w:bookmarkEnd w:id="2"/>
    </w:p>
    <w:p w14:paraId="799F3EF6" w14:textId="77777777" w:rsidR="00E650FC" w:rsidRPr="00E650FC" w:rsidRDefault="00E650FC" w:rsidP="00824747">
      <w:pPr>
        <w:pStyle w:val="Body"/>
        <w:ind w:left="284"/>
      </w:pPr>
      <w:r w:rsidRPr="00E650FC">
        <w:t>This readiness self-assessment tool has been developed to support health services in meeting the expectations and planning for implementation of the</w:t>
      </w:r>
      <w:r w:rsidRPr="00E650FC">
        <w:rPr>
          <w:i/>
          <w:iCs/>
        </w:rPr>
        <w:t xml:space="preserve"> </w:t>
      </w:r>
      <w:r w:rsidRPr="00E650FC">
        <w:t>policy. This tool aims to support the identification of good practice in action, areas needing improvement and actions that will be undertaken to meet expectations of the policy.</w:t>
      </w:r>
    </w:p>
    <w:p w14:paraId="6D3F59E7" w14:textId="77777777" w:rsidR="00E650FC" w:rsidRPr="00E650FC" w:rsidRDefault="00E650FC" w:rsidP="00824747">
      <w:pPr>
        <w:pStyle w:val="Body"/>
        <w:ind w:left="284"/>
      </w:pPr>
      <w:r w:rsidRPr="00E650FC">
        <w:t xml:space="preserve">It is envisaged that each health service will nominate a lead group or committee to consider actions that may be needed to respond to the policy and complete the readiness self-assessment. </w:t>
      </w:r>
    </w:p>
    <w:p w14:paraId="3268DA8C" w14:textId="77777777" w:rsidR="00E650FC" w:rsidRPr="00E650FC" w:rsidRDefault="00E650FC" w:rsidP="00824747">
      <w:pPr>
        <w:pStyle w:val="Body"/>
        <w:ind w:left="284"/>
      </w:pPr>
      <w:r w:rsidRPr="00E650FC">
        <w:t>The group or committee should look for and document evidence of practice in action that supports the ratings allocated to each obligation, identify gaps that need to be addressed and set timeframes for achievement within the required timelines for implementation.</w:t>
      </w:r>
    </w:p>
    <w:p w14:paraId="7B94E86D" w14:textId="77777777" w:rsidR="00E650FC" w:rsidRPr="00E650FC" w:rsidRDefault="00E650FC" w:rsidP="00824747">
      <w:pPr>
        <w:pStyle w:val="Body"/>
        <w:ind w:left="284"/>
      </w:pPr>
      <w:r w:rsidRPr="00E650FC">
        <w:t xml:space="preserve">Table 1 lists the key policy changes between the old and new policy documents. Other gaps may be identified if the health service has not acted on, or completed work on, meeting the expectations described in the earlier 2015 Elective surgery access policy. </w:t>
      </w:r>
    </w:p>
    <w:p w14:paraId="5B36DABD" w14:textId="1A296CD3" w:rsidR="00E650FC" w:rsidRPr="00E650FC" w:rsidRDefault="00E650FC" w:rsidP="00824747">
      <w:pPr>
        <w:pStyle w:val="Body"/>
        <w:ind w:left="284"/>
      </w:pPr>
      <w:r w:rsidRPr="00E650FC">
        <w:t xml:space="preserve">Health services may wish to complete the readiness self-assessment for each speciality or for specific preparation lists and then compile a hospital-wide self-assessment. </w:t>
      </w:r>
    </w:p>
    <w:p w14:paraId="627262EB" w14:textId="77777777" w:rsidR="00E650FC" w:rsidRPr="00E650FC" w:rsidRDefault="00E650FC" w:rsidP="00824747">
      <w:pPr>
        <w:pStyle w:val="Body"/>
        <w:ind w:left="284"/>
      </w:pPr>
      <w:r w:rsidRPr="00E650FC">
        <w:t xml:space="preserve">The results of the readiness self-assessment will help the health service determine an action plan for implementation of the policy for specific services and across the organisation to </w:t>
      </w:r>
      <w:r w:rsidRPr="00E650FC">
        <w:rPr>
          <w:b/>
          <w:bCs/>
        </w:rPr>
        <w:t>ensure full implementation of obligations and expectations within 24 months from publication of the policy</w:t>
      </w:r>
      <w:r w:rsidRPr="00E650FC">
        <w:t xml:space="preserve">. </w:t>
      </w:r>
    </w:p>
    <w:p w14:paraId="5949BE8A" w14:textId="77777777" w:rsidR="00E650FC" w:rsidRDefault="00E650FC" w:rsidP="00824747">
      <w:pPr>
        <w:pStyle w:val="Body"/>
        <w:ind w:left="284"/>
      </w:pPr>
      <w:bookmarkStart w:id="3" w:name="_Toc31877187"/>
      <w:r w:rsidRPr="00E650FC">
        <w:t>Note: in the policy the use of the term ‘must’ denote actions that are obligations to be met by the health service within a specified timeframe. The use of the term ‘should’ refer to practices that a health service should be aiming to do with increasing frequency.</w:t>
      </w:r>
    </w:p>
    <w:p w14:paraId="438203AD" w14:textId="77777777" w:rsidR="00824747" w:rsidRPr="00E650FC" w:rsidRDefault="00824747" w:rsidP="00824747">
      <w:pPr>
        <w:pStyle w:val="Body"/>
        <w:ind w:left="284"/>
      </w:pPr>
    </w:p>
    <w:p w14:paraId="7D1FA6EB" w14:textId="77777777" w:rsidR="00E650FC" w:rsidRPr="00E650FC" w:rsidRDefault="00E650FC" w:rsidP="00824747">
      <w:pPr>
        <w:pStyle w:val="Heading2"/>
        <w:ind w:left="284"/>
        <w:rPr>
          <w:rFonts w:eastAsia="Times"/>
        </w:rPr>
      </w:pPr>
      <w:bookmarkStart w:id="4" w:name="_Toc169700550"/>
      <w:r w:rsidRPr="00E650FC">
        <w:rPr>
          <w:rFonts w:eastAsia="Times"/>
        </w:rPr>
        <w:t>Rating scale</w:t>
      </w:r>
      <w:bookmarkEnd w:id="3"/>
      <w:bookmarkEnd w:id="4"/>
    </w:p>
    <w:p w14:paraId="42539010" w14:textId="77777777" w:rsidR="00E650FC" w:rsidRPr="00E650FC" w:rsidRDefault="00E650FC" w:rsidP="00824747">
      <w:pPr>
        <w:pStyle w:val="Body"/>
        <w:ind w:left="284"/>
        <w:rPr>
          <w:b/>
          <w:bCs/>
        </w:rPr>
      </w:pPr>
      <w:r w:rsidRPr="00E650FC">
        <w:rPr>
          <w:b/>
          <w:bCs/>
        </w:rPr>
        <w:t xml:space="preserve">The following rating scale can be used to rate how the organisation is performing against each statement or expectation: </w:t>
      </w:r>
    </w:p>
    <w:p w14:paraId="1ACA980C" w14:textId="77777777" w:rsidR="00E650FC" w:rsidRPr="00E650FC" w:rsidRDefault="00E650FC" w:rsidP="00824747">
      <w:pPr>
        <w:pStyle w:val="Body"/>
        <w:numPr>
          <w:ilvl w:val="0"/>
          <w:numId w:val="40"/>
        </w:numPr>
        <w:ind w:firstLine="0"/>
        <w:rPr>
          <w:b/>
          <w:bCs/>
        </w:rPr>
      </w:pPr>
      <w:r w:rsidRPr="00E650FC">
        <w:rPr>
          <w:b/>
          <w:bCs/>
        </w:rPr>
        <w:t>just beginning, self-assessment and planning</w:t>
      </w:r>
    </w:p>
    <w:p w14:paraId="6937BCDA" w14:textId="77777777" w:rsidR="00E650FC" w:rsidRPr="00E650FC" w:rsidRDefault="00E650FC" w:rsidP="00824747">
      <w:pPr>
        <w:pStyle w:val="Body"/>
        <w:numPr>
          <w:ilvl w:val="0"/>
          <w:numId w:val="40"/>
        </w:numPr>
        <w:ind w:firstLine="0"/>
        <w:rPr>
          <w:b/>
          <w:bCs/>
        </w:rPr>
      </w:pPr>
      <w:r w:rsidRPr="00E650FC">
        <w:rPr>
          <w:b/>
          <w:bCs/>
        </w:rPr>
        <w:t>some progress, implementation of some aspects evident</w:t>
      </w:r>
    </w:p>
    <w:p w14:paraId="1A54F5C0" w14:textId="77777777" w:rsidR="00E650FC" w:rsidRPr="00E650FC" w:rsidRDefault="00E650FC" w:rsidP="00824747">
      <w:pPr>
        <w:pStyle w:val="Body"/>
        <w:numPr>
          <w:ilvl w:val="0"/>
          <w:numId w:val="40"/>
        </w:numPr>
        <w:ind w:firstLine="0"/>
        <w:rPr>
          <w:b/>
          <w:bCs/>
        </w:rPr>
      </w:pPr>
      <w:r w:rsidRPr="00E650FC">
        <w:rPr>
          <w:b/>
          <w:bCs/>
        </w:rPr>
        <w:t>most but not all aspects implemented</w:t>
      </w:r>
    </w:p>
    <w:p w14:paraId="48649892" w14:textId="77777777" w:rsidR="00E650FC" w:rsidRPr="00E650FC" w:rsidRDefault="00E650FC" w:rsidP="00824747">
      <w:pPr>
        <w:pStyle w:val="Body"/>
        <w:numPr>
          <w:ilvl w:val="0"/>
          <w:numId w:val="40"/>
        </w:numPr>
        <w:ind w:firstLine="0"/>
        <w:rPr>
          <w:b/>
          <w:bCs/>
        </w:rPr>
      </w:pPr>
      <w:r w:rsidRPr="00E650FC">
        <w:rPr>
          <w:b/>
          <w:bCs/>
        </w:rPr>
        <w:t>all aspects implemented</w:t>
      </w:r>
    </w:p>
    <w:p w14:paraId="563E005D" w14:textId="77777777" w:rsidR="00E650FC" w:rsidRPr="00E650FC" w:rsidRDefault="00E650FC" w:rsidP="00824747">
      <w:pPr>
        <w:pStyle w:val="Body"/>
        <w:numPr>
          <w:ilvl w:val="0"/>
          <w:numId w:val="40"/>
        </w:numPr>
        <w:ind w:firstLine="0"/>
        <w:rPr>
          <w:b/>
          <w:bCs/>
        </w:rPr>
      </w:pPr>
      <w:r w:rsidRPr="00E650FC">
        <w:rPr>
          <w:b/>
          <w:bCs/>
        </w:rPr>
        <w:t>all aspects implemented, and regularly reviewed</w:t>
      </w:r>
    </w:p>
    <w:p w14:paraId="23A0DC22" w14:textId="77777777" w:rsidR="00E650FC" w:rsidRPr="00E650FC" w:rsidRDefault="00E650FC" w:rsidP="00824747">
      <w:pPr>
        <w:pStyle w:val="Body"/>
        <w:ind w:left="284"/>
      </w:pPr>
      <w:r w:rsidRPr="00E650FC">
        <w:t xml:space="preserve">The following questions can be asked to inform the rating for each service: </w:t>
      </w:r>
    </w:p>
    <w:p w14:paraId="6D29D0DA" w14:textId="77777777" w:rsidR="00E650FC" w:rsidRPr="00E650FC" w:rsidRDefault="00E650FC" w:rsidP="00735829">
      <w:pPr>
        <w:pStyle w:val="Body"/>
        <w:numPr>
          <w:ilvl w:val="0"/>
          <w:numId w:val="48"/>
        </w:numPr>
        <w:ind w:left="709" w:hanging="349"/>
      </w:pPr>
      <w:r w:rsidRPr="00E650FC">
        <w:t>To what extent is the requirement implemented?</w:t>
      </w:r>
    </w:p>
    <w:p w14:paraId="783E267D" w14:textId="77777777" w:rsidR="00E650FC" w:rsidRPr="00E650FC" w:rsidRDefault="00E650FC" w:rsidP="00735829">
      <w:pPr>
        <w:pStyle w:val="Body"/>
        <w:numPr>
          <w:ilvl w:val="0"/>
          <w:numId w:val="48"/>
        </w:numPr>
        <w:ind w:left="709" w:hanging="349"/>
      </w:pPr>
      <w:r w:rsidRPr="00E650FC">
        <w:t>Do all surgical specialities or services meet requirements to the same extent?</w:t>
      </w:r>
    </w:p>
    <w:p w14:paraId="03578DD0" w14:textId="77777777" w:rsidR="00E650FC" w:rsidRPr="00E650FC" w:rsidRDefault="00E650FC" w:rsidP="00735829">
      <w:pPr>
        <w:pStyle w:val="Body"/>
        <w:numPr>
          <w:ilvl w:val="0"/>
          <w:numId w:val="48"/>
        </w:numPr>
        <w:ind w:left="709" w:hanging="349"/>
      </w:pPr>
      <w:r w:rsidRPr="00E650FC">
        <w:t xml:space="preserve">What information is available to the public/patient? </w:t>
      </w:r>
    </w:p>
    <w:p w14:paraId="50E8168A" w14:textId="77777777" w:rsidR="00E650FC" w:rsidRPr="00E650FC" w:rsidRDefault="00E650FC" w:rsidP="00735829">
      <w:pPr>
        <w:pStyle w:val="Body"/>
        <w:numPr>
          <w:ilvl w:val="0"/>
          <w:numId w:val="48"/>
        </w:numPr>
        <w:ind w:left="709" w:hanging="349"/>
      </w:pPr>
      <w:r w:rsidRPr="00E650FC">
        <w:t xml:space="preserve">If asked, what would people say about how the service meets each requirement or the policy as a whole? </w:t>
      </w:r>
    </w:p>
    <w:p w14:paraId="72B58BE3" w14:textId="77777777" w:rsidR="00E650FC" w:rsidRPr="00E650FC" w:rsidRDefault="00E650FC" w:rsidP="00E650FC">
      <w:pPr>
        <w:pStyle w:val="Body"/>
      </w:pPr>
    </w:p>
    <w:p w14:paraId="17340028" w14:textId="77777777" w:rsidR="00E650FC" w:rsidRPr="00200176" w:rsidRDefault="00E650FC" w:rsidP="00855920">
      <w:pPr>
        <w:pStyle w:val="Body"/>
      </w:pPr>
    </w:p>
    <w:p w14:paraId="596CC055" w14:textId="77777777" w:rsidR="00E650FC" w:rsidRDefault="00E650FC" w:rsidP="00E650FC">
      <w:pPr>
        <w:pStyle w:val="Heading3"/>
        <w:sectPr w:rsidR="00E650FC" w:rsidSect="00E62622">
          <w:footerReference w:type="default" r:id="rId18"/>
          <w:type w:val="continuous"/>
          <w:pgSz w:w="11906" w:h="16838" w:code="9"/>
          <w:pgMar w:top="1418" w:right="851" w:bottom="1418" w:left="851" w:header="680" w:footer="851" w:gutter="0"/>
          <w:cols w:space="340"/>
          <w:docGrid w:linePitch="360"/>
        </w:sectPr>
      </w:pPr>
    </w:p>
    <w:p w14:paraId="287AC5CE" w14:textId="655E761D" w:rsidR="00EE29AD" w:rsidRPr="00417848" w:rsidRDefault="00E650FC" w:rsidP="00417848">
      <w:pPr>
        <w:pStyle w:val="Heading2"/>
      </w:pPr>
      <w:bookmarkStart w:id="5" w:name="_Toc169700551"/>
      <w:r w:rsidRPr="00417848">
        <w:lastRenderedPageBreak/>
        <w:t xml:space="preserve">Readiness </w:t>
      </w:r>
      <w:r w:rsidR="00417848">
        <w:t>self-</w:t>
      </w:r>
      <w:r w:rsidRPr="00417848">
        <w:t>assessment tool</w:t>
      </w:r>
      <w:bookmarkEnd w:id="5"/>
    </w:p>
    <w:p w14:paraId="7C436D75" w14:textId="77777777" w:rsidR="00E650FC" w:rsidRDefault="00E650FC" w:rsidP="00E650FC">
      <w:pPr>
        <w:pStyle w:val="Body"/>
        <w:spacing w:after="0"/>
        <w:ind w:left="-284"/>
      </w:pPr>
    </w:p>
    <w:p w14:paraId="701F2515" w14:textId="77777777" w:rsidR="00E650FC" w:rsidRDefault="00E650FC" w:rsidP="00E650FC">
      <w:pPr>
        <w:pStyle w:val="Body"/>
        <w:spacing w:after="0"/>
        <w:ind w:left="-284"/>
        <w:sectPr w:rsidR="00E650FC" w:rsidSect="00E650FC">
          <w:type w:val="continuous"/>
          <w:pgSz w:w="16838" w:h="11906" w:orient="landscape" w:code="9"/>
          <w:pgMar w:top="851" w:right="1418" w:bottom="851" w:left="1418" w:header="680" w:footer="851" w:gutter="0"/>
          <w:cols w:space="340"/>
          <w:docGrid w:linePitch="360"/>
        </w:sectPr>
      </w:pPr>
    </w:p>
    <w:p w14:paraId="04CB3B13" w14:textId="77777777" w:rsidR="00E650FC" w:rsidRPr="001A58A7" w:rsidRDefault="00E650FC" w:rsidP="00E650FC">
      <w:pPr>
        <w:pStyle w:val="Tablecaption"/>
        <w:spacing w:before="0" w:after="0"/>
        <w:ind w:left="-284"/>
      </w:pPr>
      <w:r w:rsidRPr="001A58A7">
        <w:t>Table 1 Key changes in policy described in Planned Surgery Access Policy</w:t>
      </w:r>
    </w:p>
    <w:tbl>
      <w:tblPr>
        <w:tblStyle w:val="TableGrid"/>
        <w:tblW w:w="15168" w:type="dxa"/>
        <w:tblInd w:w="-289" w:type="dxa"/>
        <w:tblLook w:val="04A0" w:firstRow="1" w:lastRow="0" w:firstColumn="1" w:lastColumn="0" w:noHBand="0" w:noVBand="1"/>
      </w:tblPr>
      <w:tblGrid>
        <w:gridCol w:w="7797"/>
        <w:gridCol w:w="1276"/>
        <w:gridCol w:w="1417"/>
        <w:gridCol w:w="1418"/>
        <w:gridCol w:w="2004"/>
        <w:gridCol w:w="1256"/>
      </w:tblGrid>
      <w:tr w:rsidR="00E650FC" w:rsidRPr="001A58A7" w14:paraId="39EE9DD2" w14:textId="77777777" w:rsidTr="00E650FC">
        <w:trPr>
          <w:tblHeader/>
        </w:trPr>
        <w:tc>
          <w:tcPr>
            <w:tcW w:w="7797" w:type="dxa"/>
          </w:tcPr>
          <w:p w14:paraId="03A5E966" w14:textId="77777777" w:rsidR="00E650FC" w:rsidRPr="001A58A7" w:rsidRDefault="00E650FC" w:rsidP="00E650FC">
            <w:pPr>
              <w:pStyle w:val="Tablecolhead"/>
            </w:pPr>
            <w:r w:rsidRPr="001A58A7">
              <w:t>Obligations / expectations to be met:</w:t>
            </w:r>
          </w:p>
        </w:tc>
        <w:tc>
          <w:tcPr>
            <w:tcW w:w="1276" w:type="dxa"/>
          </w:tcPr>
          <w:p w14:paraId="0EF7A8F4" w14:textId="77777777" w:rsidR="00E650FC" w:rsidRPr="001A58A7" w:rsidRDefault="00E650FC" w:rsidP="00E650FC">
            <w:pPr>
              <w:pStyle w:val="Tablecolhead"/>
            </w:pPr>
            <w:r w:rsidRPr="001A58A7">
              <w:t>Rating (1-5)</w:t>
            </w:r>
          </w:p>
        </w:tc>
        <w:tc>
          <w:tcPr>
            <w:tcW w:w="1417" w:type="dxa"/>
          </w:tcPr>
          <w:p w14:paraId="4E194346" w14:textId="77777777" w:rsidR="00E650FC" w:rsidRPr="001A58A7" w:rsidRDefault="00E650FC" w:rsidP="00E650FC">
            <w:pPr>
              <w:pStyle w:val="Tablecolhead"/>
            </w:pPr>
            <w:r w:rsidRPr="001A58A7">
              <w:t>Evidence of practice:</w:t>
            </w:r>
          </w:p>
        </w:tc>
        <w:tc>
          <w:tcPr>
            <w:tcW w:w="1418" w:type="dxa"/>
          </w:tcPr>
          <w:p w14:paraId="3A36BBD5" w14:textId="77777777" w:rsidR="00E650FC" w:rsidRPr="001A58A7" w:rsidRDefault="00E650FC" w:rsidP="00E650FC">
            <w:pPr>
              <w:pStyle w:val="Tablecolhead"/>
            </w:pPr>
            <w:r w:rsidRPr="001A58A7">
              <w:t>Gaps in practice:</w:t>
            </w:r>
          </w:p>
        </w:tc>
        <w:tc>
          <w:tcPr>
            <w:tcW w:w="2004" w:type="dxa"/>
          </w:tcPr>
          <w:p w14:paraId="60D0A754" w14:textId="77777777" w:rsidR="00E650FC" w:rsidRPr="001A58A7" w:rsidRDefault="00E650FC" w:rsidP="00E650FC">
            <w:pPr>
              <w:pStyle w:val="Tablecolhead"/>
            </w:pPr>
            <w:r w:rsidRPr="001A58A7">
              <w:t>Actions to improve practice:</w:t>
            </w:r>
          </w:p>
        </w:tc>
        <w:tc>
          <w:tcPr>
            <w:tcW w:w="1256" w:type="dxa"/>
          </w:tcPr>
          <w:p w14:paraId="3FB03043" w14:textId="77777777" w:rsidR="00E650FC" w:rsidRPr="001A58A7" w:rsidRDefault="00E650FC" w:rsidP="00E650FC">
            <w:pPr>
              <w:pStyle w:val="Tablecolhead"/>
            </w:pPr>
            <w:r w:rsidRPr="001A58A7">
              <w:t>By whom:</w:t>
            </w:r>
          </w:p>
          <w:p w14:paraId="65383FA6" w14:textId="77777777" w:rsidR="00E650FC" w:rsidRPr="001A58A7" w:rsidRDefault="00E650FC" w:rsidP="00E650FC">
            <w:pPr>
              <w:pStyle w:val="Tablecolhead"/>
            </w:pPr>
            <w:r w:rsidRPr="001A58A7">
              <w:t>By when:</w:t>
            </w:r>
          </w:p>
        </w:tc>
      </w:tr>
      <w:tr w:rsidR="00E650FC" w:rsidRPr="001A58A7" w14:paraId="600E90E6" w14:textId="77777777" w:rsidTr="00E650FC">
        <w:tc>
          <w:tcPr>
            <w:tcW w:w="7797" w:type="dxa"/>
          </w:tcPr>
          <w:p w14:paraId="122944F4" w14:textId="77777777" w:rsidR="00E650FC" w:rsidRPr="001A58A7" w:rsidRDefault="00E650FC" w:rsidP="00E650FC">
            <w:pPr>
              <w:pStyle w:val="Tablecolhead"/>
            </w:pPr>
            <w:r w:rsidRPr="001A58A7">
              <w:t>Section 2 About the policy</w:t>
            </w:r>
          </w:p>
        </w:tc>
        <w:tc>
          <w:tcPr>
            <w:tcW w:w="1276" w:type="dxa"/>
          </w:tcPr>
          <w:p w14:paraId="5446F8F1" w14:textId="77777777" w:rsidR="00E650FC" w:rsidRPr="001A58A7" w:rsidRDefault="00E650FC" w:rsidP="00E650FC">
            <w:pPr>
              <w:pStyle w:val="DHHSbody"/>
              <w:rPr>
                <w:b/>
              </w:rPr>
            </w:pPr>
          </w:p>
        </w:tc>
        <w:tc>
          <w:tcPr>
            <w:tcW w:w="1417" w:type="dxa"/>
          </w:tcPr>
          <w:p w14:paraId="41C90726" w14:textId="77777777" w:rsidR="00E650FC" w:rsidRPr="001A58A7" w:rsidRDefault="00E650FC" w:rsidP="00E650FC">
            <w:pPr>
              <w:pStyle w:val="DHHSbody"/>
              <w:rPr>
                <w:b/>
              </w:rPr>
            </w:pPr>
          </w:p>
        </w:tc>
        <w:tc>
          <w:tcPr>
            <w:tcW w:w="1418" w:type="dxa"/>
          </w:tcPr>
          <w:p w14:paraId="58240F3A" w14:textId="77777777" w:rsidR="00E650FC" w:rsidRPr="001A58A7" w:rsidRDefault="00E650FC" w:rsidP="00E650FC">
            <w:pPr>
              <w:pStyle w:val="DHHSbody"/>
              <w:rPr>
                <w:b/>
              </w:rPr>
            </w:pPr>
          </w:p>
        </w:tc>
        <w:tc>
          <w:tcPr>
            <w:tcW w:w="2004" w:type="dxa"/>
          </w:tcPr>
          <w:p w14:paraId="7A68F66A" w14:textId="77777777" w:rsidR="00E650FC" w:rsidRPr="001A58A7" w:rsidRDefault="00E650FC" w:rsidP="00E650FC">
            <w:pPr>
              <w:pStyle w:val="DHHSbody"/>
              <w:rPr>
                <w:b/>
              </w:rPr>
            </w:pPr>
          </w:p>
        </w:tc>
        <w:tc>
          <w:tcPr>
            <w:tcW w:w="1256" w:type="dxa"/>
          </w:tcPr>
          <w:p w14:paraId="27C23240" w14:textId="77777777" w:rsidR="00E650FC" w:rsidRPr="001A58A7" w:rsidRDefault="00E650FC" w:rsidP="00E650FC">
            <w:pPr>
              <w:pStyle w:val="DHHSbody"/>
              <w:rPr>
                <w:b/>
              </w:rPr>
            </w:pPr>
          </w:p>
        </w:tc>
      </w:tr>
      <w:tr w:rsidR="00E650FC" w:rsidRPr="001A58A7" w14:paraId="4F1675BF" w14:textId="77777777" w:rsidTr="00E650FC">
        <w:tc>
          <w:tcPr>
            <w:tcW w:w="7797" w:type="dxa"/>
          </w:tcPr>
          <w:p w14:paraId="29D9A49E" w14:textId="77777777" w:rsidR="00E650FC" w:rsidRPr="00247AD4" w:rsidRDefault="00E650FC" w:rsidP="00E650FC">
            <w:pPr>
              <w:pStyle w:val="Tabletext"/>
              <w:rPr>
                <w:rFonts w:eastAsia="Times" w:cs="Arial"/>
                <w:color w:val="004C97"/>
                <w:u w:val="dotted"/>
              </w:rPr>
            </w:pPr>
            <w:r w:rsidRPr="001A58A7">
              <w:t xml:space="preserve">The scope of the policy has been expanded to </w:t>
            </w:r>
            <w:r w:rsidRPr="001A58A7">
              <w:rPr>
                <w:rFonts w:eastAsia="Times" w:cs="Arial"/>
              </w:rPr>
              <w:t xml:space="preserve">all planned surgery and procedures as identified in the </w:t>
            </w:r>
            <w:hyperlink r:id="rId19">
              <w:r w:rsidRPr="001A58A7">
                <w:rPr>
                  <w:rStyle w:val="Hyperlink"/>
                  <w:rFonts w:eastAsia="Times" w:cs="Arial"/>
                </w:rPr>
                <w:t>ESIS manual</w:t>
              </w:r>
            </w:hyperlink>
            <w:r>
              <w:rPr>
                <w:rStyle w:val="Hyperlink"/>
                <w:rFonts w:eastAsia="Times" w:cs="Arial"/>
              </w:rPr>
              <w:t xml:space="preserve"> </w:t>
            </w:r>
            <w:r>
              <w:rPr>
                <w:rFonts w:eastAsia="Times"/>
              </w:rPr>
              <w:t>&lt;</w:t>
            </w:r>
            <w:r w:rsidRPr="00247AD4">
              <w:rPr>
                <w:rFonts w:eastAsia="Times"/>
              </w:rPr>
              <w:t>https://www.health.vic.gov.au/data-reporting/elective-surgery-information-system-esis</w:t>
            </w:r>
            <w:r>
              <w:rPr>
                <w:rFonts w:eastAsia="Times"/>
              </w:rPr>
              <w:t>&gt;</w:t>
            </w:r>
          </w:p>
          <w:p w14:paraId="1D8D0BCE" w14:textId="77777777" w:rsidR="00E650FC" w:rsidRDefault="00E650FC" w:rsidP="00E650FC">
            <w:pPr>
              <w:pStyle w:val="Tabletext"/>
            </w:pPr>
            <w:r w:rsidRPr="001A58A7">
              <w:t>Refer to</w:t>
            </w:r>
            <w:r>
              <w:t xml:space="preserve"> </w:t>
            </w:r>
            <w:r w:rsidRPr="001A58A7">
              <w:t>Section</w:t>
            </w:r>
            <w:r>
              <w:t>:</w:t>
            </w:r>
          </w:p>
          <w:p w14:paraId="470A9F79" w14:textId="77777777" w:rsidR="00E650FC" w:rsidRDefault="00E650FC" w:rsidP="00E650FC">
            <w:pPr>
              <w:pStyle w:val="Tabletext"/>
              <w:numPr>
                <w:ilvl w:val="0"/>
                <w:numId w:val="44"/>
              </w:numPr>
              <w:ind w:left="0" w:firstLine="0"/>
            </w:pPr>
            <w:r w:rsidRPr="001A58A7">
              <w:t>2.2 Scope</w:t>
            </w:r>
          </w:p>
          <w:p w14:paraId="7D94C34A" w14:textId="77777777" w:rsidR="00E650FC" w:rsidRPr="001A58A7" w:rsidRDefault="00E650FC" w:rsidP="00E650FC">
            <w:pPr>
              <w:pStyle w:val="Tabletext"/>
              <w:numPr>
                <w:ilvl w:val="0"/>
                <w:numId w:val="44"/>
              </w:numPr>
              <w:ind w:left="0" w:firstLine="0"/>
            </w:pPr>
            <w:r w:rsidRPr="001A58A7">
              <w:t>2.3 Out of Scope</w:t>
            </w:r>
          </w:p>
          <w:p w14:paraId="4F14E205" w14:textId="77777777" w:rsidR="00E650FC" w:rsidRPr="001A58A7" w:rsidRDefault="00E650FC" w:rsidP="00E650FC">
            <w:pPr>
              <w:pStyle w:val="Tabletext"/>
            </w:pPr>
            <w:r w:rsidRPr="001A58A7">
              <w:rPr>
                <w:b/>
                <w:bCs/>
              </w:rPr>
              <w:t>Health services have 24 months to implement this requirement of the policy.</w:t>
            </w:r>
          </w:p>
        </w:tc>
        <w:tc>
          <w:tcPr>
            <w:tcW w:w="1276" w:type="dxa"/>
          </w:tcPr>
          <w:p w14:paraId="6F2FC8A2" w14:textId="77777777" w:rsidR="00E650FC" w:rsidRPr="001A58A7" w:rsidRDefault="00E650FC" w:rsidP="00E650FC">
            <w:pPr>
              <w:pStyle w:val="DHHSbody"/>
              <w:rPr>
                <w:b/>
              </w:rPr>
            </w:pPr>
          </w:p>
        </w:tc>
        <w:tc>
          <w:tcPr>
            <w:tcW w:w="1417" w:type="dxa"/>
          </w:tcPr>
          <w:p w14:paraId="1730E17F" w14:textId="77777777" w:rsidR="00E650FC" w:rsidRPr="001A58A7" w:rsidRDefault="00E650FC" w:rsidP="00E650FC">
            <w:pPr>
              <w:pStyle w:val="DHHSbody"/>
              <w:rPr>
                <w:b/>
              </w:rPr>
            </w:pPr>
          </w:p>
        </w:tc>
        <w:tc>
          <w:tcPr>
            <w:tcW w:w="1418" w:type="dxa"/>
          </w:tcPr>
          <w:p w14:paraId="49477551" w14:textId="77777777" w:rsidR="00E650FC" w:rsidRPr="001A58A7" w:rsidRDefault="00E650FC" w:rsidP="00E650FC">
            <w:pPr>
              <w:pStyle w:val="DHHSbody"/>
              <w:rPr>
                <w:b/>
              </w:rPr>
            </w:pPr>
          </w:p>
        </w:tc>
        <w:tc>
          <w:tcPr>
            <w:tcW w:w="2004" w:type="dxa"/>
          </w:tcPr>
          <w:p w14:paraId="556C7665" w14:textId="77777777" w:rsidR="00E650FC" w:rsidRPr="001A58A7" w:rsidRDefault="00E650FC" w:rsidP="00E650FC">
            <w:pPr>
              <w:pStyle w:val="DHHSbody"/>
              <w:rPr>
                <w:b/>
              </w:rPr>
            </w:pPr>
          </w:p>
        </w:tc>
        <w:tc>
          <w:tcPr>
            <w:tcW w:w="1256" w:type="dxa"/>
          </w:tcPr>
          <w:p w14:paraId="3D06F5F4" w14:textId="77777777" w:rsidR="00E650FC" w:rsidRPr="001A58A7" w:rsidRDefault="00E650FC" w:rsidP="00E650FC">
            <w:pPr>
              <w:pStyle w:val="DHHSbody"/>
              <w:rPr>
                <w:b/>
              </w:rPr>
            </w:pPr>
          </w:p>
        </w:tc>
      </w:tr>
      <w:tr w:rsidR="00E650FC" w:rsidRPr="001A58A7" w14:paraId="5DD85DD4" w14:textId="77777777" w:rsidTr="00E650FC">
        <w:tc>
          <w:tcPr>
            <w:tcW w:w="7797" w:type="dxa"/>
          </w:tcPr>
          <w:p w14:paraId="2BAFEDA4" w14:textId="77777777" w:rsidR="00E650FC" w:rsidRPr="001A58A7" w:rsidRDefault="00E650FC" w:rsidP="00E650FC">
            <w:pPr>
              <w:pStyle w:val="Tablecolhead"/>
            </w:pPr>
            <w:r w:rsidRPr="001A58A7">
              <w:t>Section 4 Guiding principles</w:t>
            </w:r>
          </w:p>
        </w:tc>
        <w:tc>
          <w:tcPr>
            <w:tcW w:w="1276" w:type="dxa"/>
          </w:tcPr>
          <w:p w14:paraId="173C6A79" w14:textId="77777777" w:rsidR="00E650FC" w:rsidRPr="001A58A7" w:rsidRDefault="00E650FC" w:rsidP="00E650FC">
            <w:pPr>
              <w:pStyle w:val="DHHSbody"/>
              <w:rPr>
                <w:b/>
              </w:rPr>
            </w:pPr>
          </w:p>
        </w:tc>
        <w:tc>
          <w:tcPr>
            <w:tcW w:w="1417" w:type="dxa"/>
          </w:tcPr>
          <w:p w14:paraId="03CD58C9" w14:textId="77777777" w:rsidR="00E650FC" w:rsidRPr="001A58A7" w:rsidRDefault="00E650FC" w:rsidP="00E650FC">
            <w:pPr>
              <w:pStyle w:val="DHHSbody"/>
              <w:rPr>
                <w:b/>
              </w:rPr>
            </w:pPr>
          </w:p>
        </w:tc>
        <w:tc>
          <w:tcPr>
            <w:tcW w:w="1418" w:type="dxa"/>
          </w:tcPr>
          <w:p w14:paraId="77D3CCAA" w14:textId="77777777" w:rsidR="00E650FC" w:rsidRPr="001A58A7" w:rsidRDefault="00E650FC" w:rsidP="00E650FC">
            <w:pPr>
              <w:pStyle w:val="DHHSbody"/>
              <w:rPr>
                <w:b/>
              </w:rPr>
            </w:pPr>
          </w:p>
        </w:tc>
        <w:tc>
          <w:tcPr>
            <w:tcW w:w="2004" w:type="dxa"/>
          </w:tcPr>
          <w:p w14:paraId="135F9810" w14:textId="77777777" w:rsidR="00E650FC" w:rsidRPr="001A58A7" w:rsidRDefault="00E650FC" w:rsidP="00E650FC">
            <w:pPr>
              <w:pStyle w:val="DHHSbody"/>
              <w:rPr>
                <w:b/>
              </w:rPr>
            </w:pPr>
          </w:p>
        </w:tc>
        <w:tc>
          <w:tcPr>
            <w:tcW w:w="1256" w:type="dxa"/>
          </w:tcPr>
          <w:p w14:paraId="55594C7E" w14:textId="77777777" w:rsidR="00E650FC" w:rsidRPr="001A58A7" w:rsidRDefault="00E650FC" w:rsidP="00E650FC">
            <w:pPr>
              <w:pStyle w:val="DHHSbody"/>
              <w:rPr>
                <w:b/>
              </w:rPr>
            </w:pPr>
          </w:p>
        </w:tc>
      </w:tr>
      <w:tr w:rsidR="00E650FC" w:rsidRPr="001A58A7" w14:paraId="6D5A4C8C" w14:textId="77777777" w:rsidTr="00E650FC">
        <w:tc>
          <w:tcPr>
            <w:tcW w:w="7797" w:type="dxa"/>
          </w:tcPr>
          <w:p w14:paraId="509488F9" w14:textId="77777777" w:rsidR="00E650FC" w:rsidRPr="001A58A7" w:rsidRDefault="00E650FC" w:rsidP="00E650FC">
            <w:pPr>
              <w:pStyle w:val="Body"/>
            </w:pPr>
            <w:r w:rsidRPr="001A58A7">
              <w:t xml:space="preserve">Health services must have the appropriate local policies and procedures in place to ensure each patient referred is treated in turn. </w:t>
            </w:r>
          </w:p>
          <w:p w14:paraId="6D579511" w14:textId="77777777" w:rsidR="00E650FC" w:rsidRDefault="00E650FC" w:rsidP="00E650FC">
            <w:pPr>
              <w:pStyle w:val="Tabletext"/>
            </w:pPr>
            <w:r w:rsidRPr="001A58A7">
              <w:t>Refer to</w:t>
            </w:r>
            <w:r>
              <w:t xml:space="preserve"> </w:t>
            </w:r>
            <w:r w:rsidRPr="001A58A7">
              <w:t>Section</w:t>
            </w:r>
            <w:r>
              <w:t>:</w:t>
            </w:r>
          </w:p>
          <w:p w14:paraId="53FE9A7F" w14:textId="77777777" w:rsidR="00E650FC" w:rsidRPr="001A58A7" w:rsidRDefault="00E650FC" w:rsidP="00E650FC">
            <w:pPr>
              <w:pStyle w:val="Tabletext"/>
              <w:numPr>
                <w:ilvl w:val="0"/>
                <w:numId w:val="46"/>
              </w:numPr>
              <w:ind w:left="0" w:firstLine="0"/>
            </w:pPr>
            <w:r w:rsidRPr="001A58A7">
              <w:t>4.1 Treat in turn</w:t>
            </w:r>
          </w:p>
          <w:p w14:paraId="6979D493" w14:textId="77777777" w:rsidR="00E650FC" w:rsidRPr="001A58A7" w:rsidRDefault="00E650FC" w:rsidP="00E650FC">
            <w:pPr>
              <w:pStyle w:val="Tabletext"/>
              <w:rPr>
                <w:b/>
                <w:bCs/>
              </w:rPr>
            </w:pPr>
            <w:r w:rsidRPr="001A58A7">
              <w:rPr>
                <w:b/>
                <w:bCs/>
              </w:rPr>
              <w:t>Health services should be able to immediately implement the requirement of the policy as treat in turn measures should already be in use.</w:t>
            </w:r>
          </w:p>
          <w:p w14:paraId="01DCEE76" w14:textId="77777777" w:rsidR="00E650FC" w:rsidRPr="001A58A7" w:rsidRDefault="00E650FC" w:rsidP="00E650FC">
            <w:pPr>
              <w:pStyle w:val="Body"/>
            </w:pPr>
            <w:r w:rsidRPr="001A58A7">
              <w:t>Over the next 12 months, the department will develop a standard methodology to calculate the current treat-in-turn ratio at each health service and share these findings. This will support ongoing service improvement and future improvement targets.</w:t>
            </w:r>
          </w:p>
        </w:tc>
        <w:tc>
          <w:tcPr>
            <w:tcW w:w="1276" w:type="dxa"/>
          </w:tcPr>
          <w:p w14:paraId="13B4DD4B" w14:textId="77777777" w:rsidR="00E650FC" w:rsidRPr="001A58A7" w:rsidRDefault="00E650FC" w:rsidP="00E650FC">
            <w:pPr>
              <w:pStyle w:val="DHHSbody"/>
              <w:rPr>
                <w:b/>
              </w:rPr>
            </w:pPr>
          </w:p>
        </w:tc>
        <w:tc>
          <w:tcPr>
            <w:tcW w:w="1417" w:type="dxa"/>
          </w:tcPr>
          <w:p w14:paraId="1C9A311C" w14:textId="77777777" w:rsidR="00E650FC" w:rsidRPr="001A58A7" w:rsidRDefault="00E650FC" w:rsidP="00E650FC">
            <w:pPr>
              <w:pStyle w:val="DHHSbody"/>
              <w:rPr>
                <w:b/>
              </w:rPr>
            </w:pPr>
          </w:p>
        </w:tc>
        <w:tc>
          <w:tcPr>
            <w:tcW w:w="1418" w:type="dxa"/>
          </w:tcPr>
          <w:p w14:paraId="625AC5C1" w14:textId="77777777" w:rsidR="00E650FC" w:rsidRPr="001A58A7" w:rsidRDefault="00E650FC" w:rsidP="00E650FC">
            <w:pPr>
              <w:pStyle w:val="DHHSbody"/>
              <w:rPr>
                <w:b/>
              </w:rPr>
            </w:pPr>
          </w:p>
        </w:tc>
        <w:tc>
          <w:tcPr>
            <w:tcW w:w="2004" w:type="dxa"/>
          </w:tcPr>
          <w:p w14:paraId="4F615AFF" w14:textId="77777777" w:rsidR="00E650FC" w:rsidRPr="001A58A7" w:rsidRDefault="00E650FC" w:rsidP="00E650FC">
            <w:pPr>
              <w:pStyle w:val="DHHSbody"/>
              <w:rPr>
                <w:b/>
              </w:rPr>
            </w:pPr>
          </w:p>
        </w:tc>
        <w:tc>
          <w:tcPr>
            <w:tcW w:w="1256" w:type="dxa"/>
          </w:tcPr>
          <w:p w14:paraId="64ECD954" w14:textId="77777777" w:rsidR="00E650FC" w:rsidRPr="001A58A7" w:rsidRDefault="00E650FC" w:rsidP="00E650FC">
            <w:pPr>
              <w:pStyle w:val="DHHSbody"/>
              <w:rPr>
                <w:b/>
              </w:rPr>
            </w:pPr>
          </w:p>
        </w:tc>
      </w:tr>
      <w:tr w:rsidR="00E650FC" w:rsidRPr="001A58A7" w14:paraId="24EC514E" w14:textId="77777777" w:rsidTr="00E650FC">
        <w:tc>
          <w:tcPr>
            <w:tcW w:w="7797" w:type="dxa"/>
          </w:tcPr>
          <w:p w14:paraId="3C377951" w14:textId="77777777" w:rsidR="00E650FC" w:rsidRPr="001A58A7" w:rsidRDefault="00E650FC" w:rsidP="00E650FC">
            <w:pPr>
              <w:pStyle w:val="Tablecolhead"/>
            </w:pPr>
            <w:r w:rsidRPr="001A58A7">
              <w:t>Section 5 Communication with patients</w:t>
            </w:r>
          </w:p>
        </w:tc>
        <w:tc>
          <w:tcPr>
            <w:tcW w:w="1276" w:type="dxa"/>
          </w:tcPr>
          <w:p w14:paraId="3735E5FA" w14:textId="77777777" w:rsidR="00E650FC" w:rsidRPr="001A58A7" w:rsidRDefault="00E650FC" w:rsidP="00E650FC">
            <w:pPr>
              <w:pStyle w:val="DHHSbody"/>
              <w:rPr>
                <w:b/>
              </w:rPr>
            </w:pPr>
          </w:p>
        </w:tc>
        <w:tc>
          <w:tcPr>
            <w:tcW w:w="1417" w:type="dxa"/>
          </w:tcPr>
          <w:p w14:paraId="29C48196" w14:textId="77777777" w:rsidR="00E650FC" w:rsidRPr="001A58A7" w:rsidRDefault="00E650FC" w:rsidP="00E650FC">
            <w:pPr>
              <w:pStyle w:val="DHHSbody"/>
              <w:rPr>
                <w:b/>
              </w:rPr>
            </w:pPr>
          </w:p>
        </w:tc>
        <w:tc>
          <w:tcPr>
            <w:tcW w:w="1418" w:type="dxa"/>
          </w:tcPr>
          <w:p w14:paraId="72AC2231" w14:textId="77777777" w:rsidR="00E650FC" w:rsidRPr="001A58A7" w:rsidRDefault="00E650FC" w:rsidP="00E650FC">
            <w:pPr>
              <w:pStyle w:val="DHHSbody"/>
              <w:rPr>
                <w:b/>
              </w:rPr>
            </w:pPr>
          </w:p>
        </w:tc>
        <w:tc>
          <w:tcPr>
            <w:tcW w:w="2004" w:type="dxa"/>
          </w:tcPr>
          <w:p w14:paraId="50A8B5AD" w14:textId="77777777" w:rsidR="00E650FC" w:rsidRPr="001A58A7" w:rsidRDefault="00E650FC" w:rsidP="00E650FC">
            <w:pPr>
              <w:pStyle w:val="DHHSbody"/>
              <w:rPr>
                <w:b/>
              </w:rPr>
            </w:pPr>
          </w:p>
        </w:tc>
        <w:tc>
          <w:tcPr>
            <w:tcW w:w="1256" w:type="dxa"/>
          </w:tcPr>
          <w:p w14:paraId="734E7BB2" w14:textId="77777777" w:rsidR="00E650FC" w:rsidRPr="001A58A7" w:rsidRDefault="00E650FC" w:rsidP="00E650FC">
            <w:pPr>
              <w:pStyle w:val="DHHSbody"/>
              <w:rPr>
                <w:b/>
              </w:rPr>
            </w:pPr>
          </w:p>
        </w:tc>
      </w:tr>
      <w:tr w:rsidR="00E650FC" w:rsidRPr="001A58A7" w14:paraId="596056A0" w14:textId="77777777" w:rsidTr="00E650FC">
        <w:tc>
          <w:tcPr>
            <w:tcW w:w="7797" w:type="dxa"/>
          </w:tcPr>
          <w:p w14:paraId="18F7D7B5" w14:textId="77777777" w:rsidR="00E650FC" w:rsidRPr="001A58A7" w:rsidRDefault="00E650FC" w:rsidP="00E650FC">
            <w:pPr>
              <w:pStyle w:val="Tabletext"/>
              <w:rPr>
                <w:lang w:eastAsia="en-AU"/>
              </w:rPr>
            </w:pPr>
            <w:r w:rsidRPr="001A58A7">
              <w:rPr>
                <w:lang w:eastAsia="en-AU"/>
              </w:rPr>
              <w:lastRenderedPageBreak/>
              <w:t>New communication timeframes and points of communication between health services and patients to deliver patient-centred, timely and structured communication.</w:t>
            </w:r>
          </w:p>
          <w:p w14:paraId="771B0155" w14:textId="77777777" w:rsidR="00E650FC" w:rsidRDefault="00E650FC" w:rsidP="00E650FC">
            <w:pPr>
              <w:pStyle w:val="Tabletext"/>
            </w:pPr>
            <w:r w:rsidRPr="001A58A7">
              <w:t>Refer to Section</w:t>
            </w:r>
            <w:r>
              <w:t>:</w:t>
            </w:r>
          </w:p>
          <w:p w14:paraId="620F1E20" w14:textId="77777777" w:rsidR="00E650FC" w:rsidRDefault="00E650FC" w:rsidP="00E650FC">
            <w:pPr>
              <w:pStyle w:val="Tabletext"/>
              <w:numPr>
                <w:ilvl w:val="0"/>
                <w:numId w:val="45"/>
              </w:numPr>
              <w:ind w:left="0" w:firstLine="0"/>
            </w:pPr>
            <w:r w:rsidRPr="001A58A7">
              <w:t>5.1 Principles for communication</w:t>
            </w:r>
          </w:p>
          <w:p w14:paraId="7903A264" w14:textId="77777777" w:rsidR="00E650FC" w:rsidRDefault="00E650FC" w:rsidP="00E650FC">
            <w:pPr>
              <w:pStyle w:val="Tabletext"/>
              <w:numPr>
                <w:ilvl w:val="0"/>
                <w:numId w:val="45"/>
              </w:numPr>
              <w:ind w:left="0" w:firstLine="0"/>
            </w:pPr>
            <w:r w:rsidRPr="001A58A7">
              <w:t>5.2 Points of communication</w:t>
            </w:r>
          </w:p>
          <w:p w14:paraId="1B79BE55" w14:textId="77777777" w:rsidR="00E650FC" w:rsidRDefault="00E650FC" w:rsidP="00E650FC">
            <w:pPr>
              <w:pStyle w:val="Tabletext"/>
              <w:numPr>
                <w:ilvl w:val="0"/>
                <w:numId w:val="45"/>
              </w:numPr>
              <w:ind w:left="0" w:firstLine="0"/>
            </w:pPr>
            <w:r w:rsidRPr="001A58A7">
              <w:t>7.4 Hospital-initiated postponements</w:t>
            </w:r>
          </w:p>
          <w:p w14:paraId="28877ADA" w14:textId="77777777" w:rsidR="00E650FC" w:rsidRPr="001A58A7" w:rsidRDefault="00E650FC" w:rsidP="00E650FC">
            <w:pPr>
              <w:pStyle w:val="Tabletext"/>
              <w:numPr>
                <w:ilvl w:val="0"/>
                <w:numId w:val="45"/>
              </w:numPr>
              <w:ind w:left="0" w:firstLine="0"/>
            </w:pPr>
            <w:r w:rsidRPr="001A58A7">
              <w:t>7.6 Validation of the preparation list</w:t>
            </w:r>
          </w:p>
          <w:p w14:paraId="7080CAF8" w14:textId="77777777" w:rsidR="00E650FC" w:rsidRPr="001A58A7" w:rsidRDefault="00E650FC" w:rsidP="00E650FC">
            <w:pPr>
              <w:pStyle w:val="Tabletext"/>
            </w:pPr>
            <w:r w:rsidRPr="001A58A7">
              <w:rPr>
                <w:b/>
                <w:bCs/>
              </w:rPr>
              <w:t>Health services have 6 months to implement this requirement of the policy.</w:t>
            </w:r>
          </w:p>
        </w:tc>
        <w:tc>
          <w:tcPr>
            <w:tcW w:w="1276" w:type="dxa"/>
          </w:tcPr>
          <w:p w14:paraId="17F77AC4" w14:textId="77777777" w:rsidR="00E650FC" w:rsidRPr="001A58A7" w:rsidRDefault="00E650FC" w:rsidP="00E650FC">
            <w:pPr>
              <w:pStyle w:val="DHHSbody"/>
              <w:rPr>
                <w:b/>
              </w:rPr>
            </w:pPr>
          </w:p>
        </w:tc>
        <w:tc>
          <w:tcPr>
            <w:tcW w:w="1417" w:type="dxa"/>
          </w:tcPr>
          <w:p w14:paraId="0C2D6F9F" w14:textId="77777777" w:rsidR="00E650FC" w:rsidRPr="001A58A7" w:rsidRDefault="00E650FC" w:rsidP="00E650FC">
            <w:pPr>
              <w:pStyle w:val="DHHSbody"/>
              <w:rPr>
                <w:b/>
              </w:rPr>
            </w:pPr>
          </w:p>
        </w:tc>
        <w:tc>
          <w:tcPr>
            <w:tcW w:w="1418" w:type="dxa"/>
          </w:tcPr>
          <w:p w14:paraId="461FE600" w14:textId="77777777" w:rsidR="00E650FC" w:rsidRPr="001A58A7" w:rsidRDefault="00E650FC" w:rsidP="00E650FC">
            <w:pPr>
              <w:pStyle w:val="DHHSbody"/>
              <w:rPr>
                <w:b/>
              </w:rPr>
            </w:pPr>
          </w:p>
        </w:tc>
        <w:tc>
          <w:tcPr>
            <w:tcW w:w="2004" w:type="dxa"/>
          </w:tcPr>
          <w:p w14:paraId="50C77387" w14:textId="77777777" w:rsidR="00E650FC" w:rsidRPr="001A58A7" w:rsidRDefault="00E650FC" w:rsidP="00E650FC">
            <w:pPr>
              <w:pStyle w:val="DHHSbody"/>
              <w:rPr>
                <w:b/>
              </w:rPr>
            </w:pPr>
          </w:p>
        </w:tc>
        <w:tc>
          <w:tcPr>
            <w:tcW w:w="1256" w:type="dxa"/>
          </w:tcPr>
          <w:p w14:paraId="0EA7E09B" w14:textId="77777777" w:rsidR="00E650FC" w:rsidRPr="001A58A7" w:rsidRDefault="00E650FC" w:rsidP="00E650FC">
            <w:pPr>
              <w:pStyle w:val="DHHSbody"/>
              <w:rPr>
                <w:b/>
              </w:rPr>
            </w:pPr>
          </w:p>
        </w:tc>
      </w:tr>
      <w:tr w:rsidR="00E650FC" w:rsidRPr="001A58A7" w14:paraId="15914AD3" w14:textId="77777777" w:rsidTr="00E650FC">
        <w:tc>
          <w:tcPr>
            <w:tcW w:w="7797" w:type="dxa"/>
          </w:tcPr>
          <w:p w14:paraId="5FE81A6E" w14:textId="77777777" w:rsidR="00E650FC" w:rsidRPr="001A58A7" w:rsidRDefault="00E650FC" w:rsidP="00E650FC">
            <w:pPr>
              <w:pStyle w:val="Tablecolhead"/>
            </w:pPr>
            <w:r w:rsidRPr="001A58A7">
              <w:t>Section 7 Preparation list management</w:t>
            </w:r>
          </w:p>
        </w:tc>
        <w:tc>
          <w:tcPr>
            <w:tcW w:w="1276" w:type="dxa"/>
          </w:tcPr>
          <w:p w14:paraId="664AD3C9" w14:textId="77777777" w:rsidR="00E650FC" w:rsidRPr="001A58A7" w:rsidRDefault="00E650FC" w:rsidP="00E650FC">
            <w:pPr>
              <w:pStyle w:val="DHHSbody"/>
              <w:rPr>
                <w:b/>
              </w:rPr>
            </w:pPr>
          </w:p>
        </w:tc>
        <w:tc>
          <w:tcPr>
            <w:tcW w:w="1417" w:type="dxa"/>
          </w:tcPr>
          <w:p w14:paraId="5FABC073" w14:textId="77777777" w:rsidR="00E650FC" w:rsidRPr="001A58A7" w:rsidRDefault="00E650FC" w:rsidP="00E650FC">
            <w:pPr>
              <w:pStyle w:val="DHHSbody"/>
              <w:rPr>
                <w:b/>
              </w:rPr>
            </w:pPr>
          </w:p>
        </w:tc>
        <w:tc>
          <w:tcPr>
            <w:tcW w:w="1418" w:type="dxa"/>
          </w:tcPr>
          <w:p w14:paraId="5B02F456" w14:textId="77777777" w:rsidR="00E650FC" w:rsidRPr="001A58A7" w:rsidRDefault="00E650FC" w:rsidP="00E650FC">
            <w:pPr>
              <w:pStyle w:val="DHHSbody"/>
              <w:rPr>
                <w:b/>
              </w:rPr>
            </w:pPr>
          </w:p>
        </w:tc>
        <w:tc>
          <w:tcPr>
            <w:tcW w:w="2004" w:type="dxa"/>
          </w:tcPr>
          <w:p w14:paraId="1B646B0D" w14:textId="77777777" w:rsidR="00E650FC" w:rsidRPr="001A58A7" w:rsidRDefault="00E650FC" w:rsidP="00E650FC">
            <w:pPr>
              <w:pStyle w:val="DHHSbody"/>
              <w:rPr>
                <w:b/>
              </w:rPr>
            </w:pPr>
          </w:p>
        </w:tc>
        <w:tc>
          <w:tcPr>
            <w:tcW w:w="1256" w:type="dxa"/>
          </w:tcPr>
          <w:p w14:paraId="766B8319" w14:textId="77777777" w:rsidR="00E650FC" w:rsidRPr="001A58A7" w:rsidRDefault="00E650FC" w:rsidP="00E650FC">
            <w:pPr>
              <w:pStyle w:val="DHHSbody"/>
              <w:rPr>
                <w:b/>
              </w:rPr>
            </w:pPr>
          </w:p>
        </w:tc>
      </w:tr>
      <w:tr w:rsidR="00E650FC" w:rsidRPr="001A58A7" w14:paraId="6F1CE964" w14:textId="77777777" w:rsidTr="00E650FC">
        <w:tc>
          <w:tcPr>
            <w:tcW w:w="7797" w:type="dxa"/>
          </w:tcPr>
          <w:p w14:paraId="01F03422" w14:textId="77777777" w:rsidR="00E650FC" w:rsidRPr="001A58A7" w:rsidRDefault="00E650FC" w:rsidP="00E650FC">
            <w:pPr>
              <w:pStyle w:val="Tabletext"/>
            </w:pPr>
            <w:r w:rsidRPr="001A58A7">
              <w:rPr>
                <w:rFonts w:eastAsia="Times" w:cs="Arial"/>
                <w:szCs w:val="21"/>
              </w:rPr>
              <w:t xml:space="preserve">Health services must maintain a single preparation list for each surgical or procedural specialty </w:t>
            </w:r>
          </w:p>
          <w:p w14:paraId="770CA7A8" w14:textId="77777777" w:rsidR="00E650FC" w:rsidRPr="001A58A7" w:rsidRDefault="00E650FC" w:rsidP="00E650FC">
            <w:pPr>
              <w:pStyle w:val="Tabletext"/>
            </w:pPr>
            <w:r w:rsidRPr="001A58A7">
              <w:rPr>
                <w:b/>
                <w:bCs/>
              </w:rPr>
              <w:t>Health services have 24 months to implement this requirement of the policy.</w:t>
            </w:r>
          </w:p>
        </w:tc>
        <w:tc>
          <w:tcPr>
            <w:tcW w:w="1276" w:type="dxa"/>
          </w:tcPr>
          <w:p w14:paraId="3B88D7C9" w14:textId="77777777" w:rsidR="00E650FC" w:rsidRPr="001A58A7" w:rsidRDefault="00E650FC" w:rsidP="00E650FC">
            <w:pPr>
              <w:pStyle w:val="DHHSbody"/>
              <w:rPr>
                <w:b/>
              </w:rPr>
            </w:pPr>
          </w:p>
        </w:tc>
        <w:tc>
          <w:tcPr>
            <w:tcW w:w="1417" w:type="dxa"/>
          </w:tcPr>
          <w:p w14:paraId="0BCB1F40" w14:textId="77777777" w:rsidR="00E650FC" w:rsidRPr="001A58A7" w:rsidRDefault="00E650FC" w:rsidP="00E650FC">
            <w:pPr>
              <w:pStyle w:val="DHHSbody"/>
              <w:rPr>
                <w:b/>
              </w:rPr>
            </w:pPr>
          </w:p>
        </w:tc>
        <w:tc>
          <w:tcPr>
            <w:tcW w:w="1418" w:type="dxa"/>
          </w:tcPr>
          <w:p w14:paraId="0A7A9CF1" w14:textId="77777777" w:rsidR="00E650FC" w:rsidRPr="001A58A7" w:rsidRDefault="00E650FC" w:rsidP="00E650FC">
            <w:pPr>
              <w:pStyle w:val="DHHSbody"/>
              <w:rPr>
                <w:b/>
              </w:rPr>
            </w:pPr>
          </w:p>
        </w:tc>
        <w:tc>
          <w:tcPr>
            <w:tcW w:w="2004" w:type="dxa"/>
          </w:tcPr>
          <w:p w14:paraId="1CE36FFE" w14:textId="77777777" w:rsidR="00E650FC" w:rsidRPr="001A58A7" w:rsidRDefault="00E650FC" w:rsidP="00E650FC">
            <w:pPr>
              <w:pStyle w:val="DHHSbody"/>
              <w:rPr>
                <w:b/>
              </w:rPr>
            </w:pPr>
          </w:p>
        </w:tc>
        <w:tc>
          <w:tcPr>
            <w:tcW w:w="1256" w:type="dxa"/>
          </w:tcPr>
          <w:p w14:paraId="5C4C1DB7" w14:textId="77777777" w:rsidR="00E650FC" w:rsidRPr="001A58A7" w:rsidRDefault="00E650FC" w:rsidP="00E650FC">
            <w:pPr>
              <w:pStyle w:val="DHHSbody"/>
              <w:rPr>
                <w:b/>
              </w:rPr>
            </w:pPr>
          </w:p>
        </w:tc>
      </w:tr>
      <w:tr w:rsidR="00E650FC" w:rsidRPr="001A58A7" w14:paraId="7975F333" w14:textId="77777777" w:rsidTr="00E650FC">
        <w:tc>
          <w:tcPr>
            <w:tcW w:w="7797" w:type="dxa"/>
          </w:tcPr>
          <w:p w14:paraId="4332A175" w14:textId="77777777" w:rsidR="00E650FC" w:rsidRPr="001A58A7" w:rsidRDefault="00E650FC" w:rsidP="00E650FC">
            <w:pPr>
              <w:rPr>
                <w:lang w:eastAsia="en-AU"/>
              </w:rPr>
            </w:pPr>
            <w:r w:rsidRPr="001A58A7">
              <w:rPr>
                <w:rFonts w:eastAsia="Times"/>
              </w:rPr>
              <w:t xml:space="preserve">Health services </w:t>
            </w:r>
            <w:r w:rsidRPr="001A58A7">
              <w:rPr>
                <w:rFonts w:eastAsia="Times"/>
                <w:b/>
                <w:bCs/>
              </w:rPr>
              <w:t>must not</w:t>
            </w:r>
            <w:r w:rsidRPr="001A58A7">
              <w:rPr>
                <w:rFonts w:eastAsia="Times"/>
              </w:rPr>
              <w:t xml:space="preserve"> accept surgical referrals that are incomplete or do not have the required information </w:t>
            </w:r>
            <w:r w:rsidRPr="001A58A7">
              <w:rPr>
                <w:lang w:eastAsia="en-AU"/>
              </w:rPr>
              <w:t xml:space="preserve">and take immediate action for category 1 requests </w:t>
            </w:r>
          </w:p>
          <w:p w14:paraId="0868D05C" w14:textId="77777777" w:rsidR="00E650FC" w:rsidRDefault="00E650FC" w:rsidP="00E650FC">
            <w:pPr>
              <w:pStyle w:val="Tabletext"/>
            </w:pPr>
            <w:r w:rsidRPr="001A58A7">
              <w:t>Refer to Section</w:t>
            </w:r>
            <w:r>
              <w:t>:</w:t>
            </w:r>
          </w:p>
          <w:p w14:paraId="380E1E82" w14:textId="77777777" w:rsidR="00E650FC" w:rsidRPr="001A58A7" w:rsidRDefault="00E650FC" w:rsidP="00E650FC">
            <w:pPr>
              <w:pStyle w:val="Tabletext"/>
              <w:numPr>
                <w:ilvl w:val="0"/>
                <w:numId w:val="43"/>
              </w:numPr>
              <w:ind w:left="0" w:firstLine="0"/>
            </w:pPr>
            <w:r w:rsidRPr="001A58A7">
              <w:t>7.2 Surgical referral response</w:t>
            </w:r>
          </w:p>
          <w:p w14:paraId="10B526D7" w14:textId="77777777" w:rsidR="00E650FC" w:rsidRPr="001A58A7" w:rsidRDefault="00E650FC" w:rsidP="00E650FC">
            <w:pPr>
              <w:pStyle w:val="Tabletext"/>
              <w:rPr>
                <w:rFonts w:eastAsia="Times" w:cs="Arial"/>
                <w:szCs w:val="21"/>
              </w:rPr>
            </w:pPr>
            <w:r w:rsidRPr="001A58A7">
              <w:rPr>
                <w:b/>
                <w:bCs/>
              </w:rPr>
              <w:t>Health services should be able to immediately implement this requirement of the policy.</w:t>
            </w:r>
          </w:p>
        </w:tc>
        <w:tc>
          <w:tcPr>
            <w:tcW w:w="1276" w:type="dxa"/>
          </w:tcPr>
          <w:p w14:paraId="109FAFC5" w14:textId="77777777" w:rsidR="00E650FC" w:rsidRPr="001A58A7" w:rsidRDefault="00E650FC" w:rsidP="00E650FC">
            <w:pPr>
              <w:pStyle w:val="DHHSbody"/>
              <w:rPr>
                <w:b/>
              </w:rPr>
            </w:pPr>
          </w:p>
        </w:tc>
        <w:tc>
          <w:tcPr>
            <w:tcW w:w="1417" w:type="dxa"/>
          </w:tcPr>
          <w:p w14:paraId="5926CBBE" w14:textId="77777777" w:rsidR="00E650FC" w:rsidRPr="001A58A7" w:rsidRDefault="00E650FC" w:rsidP="00E650FC">
            <w:pPr>
              <w:pStyle w:val="DHHSbody"/>
              <w:rPr>
                <w:b/>
              </w:rPr>
            </w:pPr>
          </w:p>
        </w:tc>
        <w:tc>
          <w:tcPr>
            <w:tcW w:w="1418" w:type="dxa"/>
          </w:tcPr>
          <w:p w14:paraId="4063142F" w14:textId="77777777" w:rsidR="00E650FC" w:rsidRPr="001A58A7" w:rsidRDefault="00E650FC" w:rsidP="00E650FC">
            <w:pPr>
              <w:pStyle w:val="DHHSbody"/>
              <w:rPr>
                <w:b/>
              </w:rPr>
            </w:pPr>
          </w:p>
        </w:tc>
        <w:tc>
          <w:tcPr>
            <w:tcW w:w="2004" w:type="dxa"/>
          </w:tcPr>
          <w:p w14:paraId="340A38F3" w14:textId="77777777" w:rsidR="00E650FC" w:rsidRPr="001A58A7" w:rsidRDefault="00E650FC" w:rsidP="00E650FC">
            <w:pPr>
              <w:pStyle w:val="DHHSbody"/>
              <w:rPr>
                <w:b/>
              </w:rPr>
            </w:pPr>
          </w:p>
        </w:tc>
        <w:tc>
          <w:tcPr>
            <w:tcW w:w="1256" w:type="dxa"/>
          </w:tcPr>
          <w:p w14:paraId="07378F02" w14:textId="77777777" w:rsidR="00E650FC" w:rsidRPr="001A58A7" w:rsidRDefault="00E650FC" w:rsidP="00E650FC">
            <w:pPr>
              <w:pStyle w:val="DHHSbody"/>
              <w:rPr>
                <w:b/>
              </w:rPr>
            </w:pPr>
          </w:p>
        </w:tc>
      </w:tr>
      <w:tr w:rsidR="00E650FC" w:rsidRPr="001A58A7" w14:paraId="6AC482F6" w14:textId="77777777" w:rsidTr="00417848">
        <w:tc>
          <w:tcPr>
            <w:tcW w:w="7797" w:type="dxa"/>
          </w:tcPr>
          <w:p w14:paraId="3CFFE390" w14:textId="77777777" w:rsidR="00E650FC" w:rsidRPr="001A58A7" w:rsidRDefault="00E650FC" w:rsidP="00E650FC">
            <w:pPr>
              <w:pStyle w:val="Tabletext"/>
            </w:pPr>
            <w:r w:rsidRPr="001A58A7">
              <w:t xml:space="preserve">Health services are encouraged to develop innovative and collaborative agreements to centralise and streamline list management across the Victorian public health system. </w:t>
            </w:r>
          </w:p>
          <w:p w14:paraId="3FC9E4DA" w14:textId="77777777" w:rsidR="00E650FC" w:rsidRDefault="00E650FC" w:rsidP="00E650FC">
            <w:pPr>
              <w:pStyle w:val="Tabletext"/>
              <w:rPr>
                <w:bCs/>
              </w:rPr>
            </w:pPr>
            <w:r w:rsidRPr="001A58A7">
              <w:rPr>
                <w:bCs/>
              </w:rPr>
              <w:t>Refer to</w:t>
            </w:r>
            <w:r>
              <w:rPr>
                <w:bCs/>
              </w:rPr>
              <w:t xml:space="preserve"> </w:t>
            </w:r>
            <w:r w:rsidRPr="001A58A7">
              <w:rPr>
                <w:bCs/>
              </w:rPr>
              <w:t>Section</w:t>
            </w:r>
            <w:r>
              <w:rPr>
                <w:bCs/>
              </w:rPr>
              <w:t>:</w:t>
            </w:r>
          </w:p>
          <w:p w14:paraId="3F5D5B5C" w14:textId="77777777" w:rsidR="00E650FC" w:rsidRPr="001A58A7" w:rsidRDefault="00E650FC" w:rsidP="00E650FC">
            <w:pPr>
              <w:pStyle w:val="Tabletext"/>
              <w:numPr>
                <w:ilvl w:val="0"/>
                <w:numId w:val="42"/>
              </w:numPr>
              <w:ind w:left="0" w:firstLine="0"/>
              <w:rPr>
                <w:bCs/>
              </w:rPr>
            </w:pPr>
            <w:r w:rsidRPr="001A58A7">
              <w:rPr>
                <w:bCs/>
              </w:rPr>
              <w:t>7.3.2 Regionalised preparation lists</w:t>
            </w:r>
          </w:p>
          <w:p w14:paraId="7B869BEE" w14:textId="77777777" w:rsidR="00E650FC" w:rsidRPr="001A58A7" w:rsidRDefault="00E650FC" w:rsidP="00E650FC">
            <w:pPr>
              <w:pStyle w:val="Tabletext"/>
              <w:rPr>
                <w:rFonts w:eastAsia="Times" w:cs="Arial"/>
                <w:szCs w:val="21"/>
              </w:rPr>
            </w:pPr>
            <w:r w:rsidRPr="001A58A7">
              <w:rPr>
                <w:b/>
                <w:bCs/>
              </w:rPr>
              <w:t xml:space="preserve">This section builds on the concept of pooled waiting list included in the 2015 Elective surgery access policy.  Health services should be able to </w:t>
            </w:r>
            <w:r w:rsidRPr="001A58A7">
              <w:rPr>
                <w:b/>
                <w:bCs/>
              </w:rPr>
              <w:lastRenderedPageBreak/>
              <w:t>immediately implement this requirement of the policy where applicable, or as required.</w:t>
            </w:r>
          </w:p>
        </w:tc>
        <w:tc>
          <w:tcPr>
            <w:tcW w:w="1276" w:type="dxa"/>
          </w:tcPr>
          <w:p w14:paraId="7618EC8C" w14:textId="77777777" w:rsidR="00E650FC" w:rsidRPr="001A58A7" w:rsidRDefault="00E650FC" w:rsidP="00E650FC">
            <w:pPr>
              <w:pStyle w:val="DHHSbody"/>
              <w:rPr>
                <w:b/>
              </w:rPr>
            </w:pPr>
          </w:p>
        </w:tc>
        <w:tc>
          <w:tcPr>
            <w:tcW w:w="1417" w:type="dxa"/>
          </w:tcPr>
          <w:p w14:paraId="3537B710" w14:textId="77777777" w:rsidR="00E650FC" w:rsidRPr="001A58A7" w:rsidRDefault="00E650FC" w:rsidP="00E650FC">
            <w:pPr>
              <w:pStyle w:val="DHHSbody"/>
              <w:rPr>
                <w:b/>
              </w:rPr>
            </w:pPr>
          </w:p>
        </w:tc>
        <w:tc>
          <w:tcPr>
            <w:tcW w:w="1418" w:type="dxa"/>
          </w:tcPr>
          <w:p w14:paraId="3576B28F" w14:textId="77777777" w:rsidR="00E650FC" w:rsidRPr="001A58A7" w:rsidRDefault="00E650FC" w:rsidP="00E650FC">
            <w:pPr>
              <w:pStyle w:val="DHHSbody"/>
              <w:rPr>
                <w:b/>
              </w:rPr>
            </w:pPr>
          </w:p>
        </w:tc>
        <w:tc>
          <w:tcPr>
            <w:tcW w:w="2004" w:type="dxa"/>
          </w:tcPr>
          <w:p w14:paraId="25ACF84F" w14:textId="77777777" w:rsidR="00E650FC" w:rsidRPr="001A58A7" w:rsidRDefault="00E650FC" w:rsidP="00E650FC">
            <w:pPr>
              <w:pStyle w:val="DHHSbody"/>
              <w:rPr>
                <w:b/>
              </w:rPr>
            </w:pPr>
          </w:p>
        </w:tc>
        <w:tc>
          <w:tcPr>
            <w:tcW w:w="1256" w:type="dxa"/>
          </w:tcPr>
          <w:p w14:paraId="77BEB8CD" w14:textId="77777777" w:rsidR="00E650FC" w:rsidRPr="001A58A7" w:rsidRDefault="00E650FC" w:rsidP="00E650FC">
            <w:pPr>
              <w:pStyle w:val="DHHSbody"/>
              <w:rPr>
                <w:b/>
              </w:rPr>
            </w:pPr>
          </w:p>
        </w:tc>
      </w:tr>
      <w:tr w:rsidR="00E650FC" w:rsidRPr="001A58A7" w14:paraId="5911339D" w14:textId="77777777" w:rsidTr="00417848">
        <w:tc>
          <w:tcPr>
            <w:tcW w:w="7797" w:type="dxa"/>
          </w:tcPr>
          <w:p w14:paraId="0FE10630" w14:textId="77777777" w:rsidR="00E650FC" w:rsidRPr="001A58A7" w:rsidRDefault="00E650FC" w:rsidP="00E650FC">
            <w:pPr>
              <w:pStyle w:val="Tabletext"/>
              <w:rPr>
                <w:lang w:eastAsia="en-AU"/>
              </w:rPr>
            </w:pPr>
            <w:r w:rsidRPr="001A58A7">
              <w:rPr>
                <w:lang w:eastAsia="en-AU"/>
              </w:rPr>
              <w:t xml:space="preserve">The head of unit (or their delegate) is responsible for managing and overseeing the preparation list for their surgical or procedural speciality </w:t>
            </w:r>
          </w:p>
          <w:p w14:paraId="46B72BCA" w14:textId="77777777" w:rsidR="00E650FC" w:rsidRDefault="00E650FC" w:rsidP="00E650FC">
            <w:pPr>
              <w:pStyle w:val="Tabletext"/>
            </w:pPr>
            <w:r w:rsidRPr="001A58A7">
              <w:t>Refer to</w:t>
            </w:r>
            <w:r>
              <w:t xml:space="preserve"> </w:t>
            </w:r>
            <w:r w:rsidRPr="001A58A7">
              <w:t>Section</w:t>
            </w:r>
            <w:r>
              <w:t>:</w:t>
            </w:r>
          </w:p>
          <w:p w14:paraId="7C17C1BD" w14:textId="77777777" w:rsidR="00E650FC" w:rsidRDefault="00E650FC" w:rsidP="00E650FC">
            <w:pPr>
              <w:pStyle w:val="Tabletext"/>
              <w:numPr>
                <w:ilvl w:val="0"/>
                <w:numId w:val="41"/>
              </w:numPr>
              <w:ind w:left="0" w:firstLine="0"/>
            </w:pPr>
            <w:r w:rsidRPr="001A58A7">
              <w:t>4.1 Treat in turn</w:t>
            </w:r>
          </w:p>
          <w:p w14:paraId="36707C4D" w14:textId="77777777" w:rsidR="00E650FC" w:rsidRDefault="00E650FC" w:rsidP="00E650FC">
            <w:pPr>
              <w:pStyle w:val="Tabletext"/>
              <w:numPr>
                <w:ilvl w:val="0"/>
                <w:numId w:val="41"/>
              </w:numPr>
              <w:ind w:left="0" w:firstLine="0"/>
            </w:pPr>
            <w:r w:rsidRPr="001A58A7">
              <w:t>4.2. Clinical urgency categorisation and registration</w:t>
            </w:r>
          </w:p>
          <w:p w14:paraId="145D6D91" w14:textId="77777777" w:rsidR="00E650FC" w:rsidRDefault="00E650FC" w:rsidP="00E650FC">
            <w:pPr>
              <w:pStyle w:val="Tabletext"/>
              <w:numPr>
                <w:ilvl w:val="0"/>
                <w:numId w:val="41"/>
              </w:numPr>
              <w:ind w:left="0" w:firstLine="0"/>
            </w:pPr>
            <w:r w:rsidRPr="001A58A7">
              <w:t>7.1 Capability and capacity</w:t>
            </w:r>
          </w:p>
          <w:p w14:paraId="5F41141D" w14:textId="77777777" w:rsidR="00E650FC" w:rsidRDefault="00E650FC" w:rsidP="00E650FC">
            <w:pPr>
              <w:pStyle w:val="Tabletext"/>
              <w:numPr>
                <w:ilvl w:val="0"/>
                <w:numId w:val="41"/>
              </w:numPr>
              <w:ind w:left="0" w:firstLine="0"/>
            </w:pPr>
            <w:r w:rsidRPr="001A58A7">
              <w:t>7.2 Surgical referral response</w:t>
            </w:r>
          </w:p>
          <w:p w14:paraId="5EAD7E77" w14:textId="77777777" w:rsidR="00E650FC" w:rsidRDefault="00E650FC" w:rsidP="00E650FC">
            <w:pPr>
              <w:pStyle w:val="Tabletext"/>
              <w:numPr>
                <w:ilvl w:val="0"/>
                <w:numId w:val="41"/>
              </w:numPr>
              <w:ind w:left="0" w:firstLine="0"/>
            </w:pPr>
            <w:r w:rsidRPr="001A58A7">
              <w:t>7.3.2 Regionalised preparation lists</w:t>
            </w:r>
          </w:p>
          <w:p w14:paraId="40D98494" w14:textId="77777777" w:rsidR="00E650FC" w:rsidRDefault="00E650FC" w:rsidP="00E650FC">
            <w:pPr>
              <w:pStyle w:val="Tabletext"/>
              <w:numPr>
                <w:ilvl w:val="0"/>
                <w:numId w:val="41"/>
              </w:numPr>
              <w:ind w:left="0" w:firstLine="0"/>
            </w:pPr>
            <w:r w:rsidRPr="001A58A7">
              <w:t>7.4 Hospital-initiated postponements</w:t>
            </w:r>
          </w:p>
          <w:p w14:paraId="73C00A70" w14:textId="77777777" w:rsidR="00E650FC" w:rsidRDefault="00E650FC" w:rsidP="00E650FC">
            <w:pPr>
              <w:pStyle w:val="Tabletext"/>
              <w:numPr>
                <w:ilvl w:val="0"/>
                <w:numId w:val="41"/>
              </w:numPr>
              <w:ind w:left="0" w:firstLine="0"/>
              <w:rPr>
                <w:bCs/>
              </w:rPr>
            </w:pPr>
            <w:r w:rsidRPr="001A58A7">
              <w:rPr>
                <w:bCs/>
              </w:rPr>
              <w:t>7.6 Validation of the preparation list</w:t>
            </w:r>
          </w:p>
          <w:p w14:paraId="295D6160" w14:textId="77777777" w:rsidR="00E650FC" w:rsidRDefault="00E650FC" w:rsidP="00E650FC">
            <w:pPr>
              <w:pStyle w:val="Tabletext"/>
              <w:numPr>
                <w:ilvl w:val="0"/>
                <w:numId w:val="41"/>
              </w:numPr>
              <w:ind w:left="0" w:firstLine="0"/>
              <w:rPr>
                <w:b/>
                <w:bCs/>
              </w:rPr>
            </w:pPr>
            <w:r w:rsidRPr="001A58A7">
              <w:rPr>
                <w:bCs/>
              </w:rPr>
              <w:t>7.8 Public and private patients</w:t>
            </w:r>
            <w:r>
              <w:rPr>
                <w:b/>
                <w:bCs/>
              </w:rPr>
              <w:t>.</w:t>
            </w:r>
          </w:p>
          <w:p w14:paraId="7E6D6EEC" w14:textId="77777777" w:rsidR="00E650FC" w:rsidRPr="001A58A7" w:rsidRDefault="00E650FC" w:rsidP="00E650FC">
            <w:pPr>
              <w:pStyle w:val="Tabletext"/>
              <w:rPr>
                <w:rFonts w:eastAsia="Times" w:cs="Arial"/>
                <w:szCs w:val="21"/>
              </w:rPr>
            </w:pPr>
            <w:r w:rsidRPr="001A58A7">
              <w:rPr>
                <w:b/>
                <w:bCs/>
              </w:rPr>
              <w:t>Health services should be able to immediately implement this requirement of the policy.</w:t>
            </w:r>
          </w:p>
        </w:tc>
        <w:tc>
          <w:tcPr>
            <w:tcW w:w="1276" w:type="dxa"/>
          </w:tcPr>
          <w:p w14:paraId="474545C6" w14:textId="77777777" w:rsidR="00E650FC" w:rsidRPr="001A58A7" w:rsidRDefault="00E650FC" w:rsidP="00E650FC">
            <w:pPr>
              <w:pStyle w:val="DHHSbody"/>
              <w:rPr>
                <w:b/>
              </w:rPr>
            </w:pPr>
          </w:p>
        </w:tc>
        <w:tc>
          <w:tcPr>
            <w:tcW w:w="1417" w:type="dxa"/>
          </w:tcPr>
          <w:p w14:paraId="4792A874" w14:textId="77777777" w:rsidR="00E650FC" w:rsidRPr="001A58A7" w:rsidRDefault="00E650FC" w:rsidP="00E650FC">
            <w:pPr>
              <w:pStyle w:val="DHHSbody"/>
              <w:rPr>
                <w:b/>
              </w:rPr>
            </w:pPr>
          </w:p>
        </w:tc>
        <w:tc>
          <w:tcPr>
            <w:tcW w:w="1418" w:type="dxa"/>
          </w:tcPr>
          <w:p w14:paraId="605536B7" w14:textId="77777777" w:rsidR="00E650FC" w:rsidRPr="001A58A7" w:rsidRDefault="00E650FC" w:rsidP="00E650FC">
            <w:pPr>
              <w:pStyle w:val="DHHSbody"/>
              <w:rPr>
                <w:b/>
              </w:rPr>
            </w:pPr>
          </w:p>
        </w:tc>
        <w:tc>
          <w:tcPr>
            <w:tcW w:w="2004" w:type="dxa"/>
          </w:tcPr>
          <w:p w14:paraId="4020FCBF" w14:textId="77777777" w:rsidR="00E650FC" w:rsidRPr="001A58A7" w:rsidRDefault="00E650FC" w:rsidP="00E650FC">
            <w:pPr>
              <w:pStyle w:val="DHHSbody"/>
              <w:rPr>
                <w:b/>
              </w:rPr>
            </w:pPr>
          </w:p>
        </w:tc>
        <w:tc>
          <w:tcPr>
            <w:tcW w:w="1256" w:type="dxa"/>
          </w:tcPr>
          <w:p w14:paraId="4C8D054D" w14:textId="77777777" w:rsidR="00E650FC" w:rsidRPr="001A58A7" w:rsidRDefault="00E650FC" w:rsidP="00E650FC">
            <w:pPr>
              <w:pStyle w:val="DHHSbody"/>
              <w:rPr>
                <w:b/>
              </w:rPr>
            </w:pPr>
          </w:p>
        </w:tc>
      </w:tr>
      <w:tr w:rsidR="00E650FC" w:rsidRPr="001A58A7" w14:paraId="5220B3FF" w14:textId="77777777" w:rsidTr="00417848">
        <w:tc>
          <w:tcPr>
            <w:tcW w:w="7797" w:type="dxa"/>
          </w:tcPr>
          <w:p w14:paraId="03F5E34F" w14:textId="77777777" w:rsidR="00E650FC" w:rsidRPr="001A58A7" w:rsidRDefault="00E650FC" w:rsidP="00E650FC">
            <w:pPr>
              <w:pStyle w:val="Tabletext"/>
              <w:rPr>
                <w:lang w:eastAsia="en-AU"/>
              </w:rPr>
            </w:pPr>
            <w:r w:rsidRPr="001A58A7">
              <w:rPr>
                <w:lang w:eastAsia="en-AU"/>
              </w:rPr>
              <w:t>Increased frequency of clerical and clinical audits of preparation lists.</w:t>
            </w:r>
          </w:p>
          <w:p w14:paraId="0B1DF5F0" w14:textId="77777777" w:rsidR="00E650FC" w:rsidRDefault="00E650FC" w:rsidP="00E650FC">
            <w:pPr>
              <w:pStyle w:val="Tabletext"/>
              <w:rPr>
                <w:bCs/>
              </w:rPr>
            </w:pPr>
            <w:r w:rsidRPr="001A58A7">
              <w:rPr>
                <w:bCs/>
              </w:rPr>
              <w:t>Refer to Section</w:t>
            </w:r>
            <w:r>
              <w:rPr>
                <w:bCs/>
              </w:rPr>
              <w:t>:</w:t>
            </w:r>
          </w:p>
          <w:p w14:paraId="1770C06C" w14:textId="77777777" w:rsidR="00E650FC" w:rsidRPr="001A58A7" w:rsidRDefault="00E650FC" w:rsidP="00E650FC">
            <w:pPr>
              <w:pStyle w:val="Tabletext"/>
              <w:numPr>
                <w:ilvl w:val="0"/>
                <w:numId w:val="47"/>
              </w:numPr>
              <w:ind w:left="0" w:firstLine="0"/>
              <w:rPr>
                <w:bCs/>
              </w:rPr>
            </w:pPr>
            <w:r w:rsidRPr="001A58A7">
              <w:rPr>
                <w:bCs/>
              </w:rPr>
              <w:t>7.6 Validation of the preparation list</w:t>
            </w:r>
          </w:p>
          <w:p w14:paraId="5B92A69B" w14:textId="77777777" w:rsidR="00E650FC" w:rsidRPr="001A58A7" w:rsidRDefault="00E650FC" w:rsidP="00E650FC">
            <w:pPr>
              <w:pStyle w:val="Tabletext"/>
              <w:rPr>
                <w:rFonts w:eastAsia="Times" w:cs="Arial"/>
                <w:szCs w:val="21"/>
              </w:rPr>
            </w:pPr>
            <w:r w:rsidRPr="001A58A7">
              <w:rPr>
                <w:b/>
                <w:bCs/>
              </w:rPr>
              <w:t>Health services have 12 months to implement this requirement of the policy</w:t>
            </w:r>
          </w:p>
        </w:tc>
        <w:tc>
          <w:tcPr>
            <w:tcW w:w="1276" w:type="dxa"/>
          </w:tcPr>
          <w:p w14:paraId="240E6B11" w14:textId="77777777" w:rsidR="00E650FC" w:rsidRPr="001A58A7" w:rsidRDefault="00E650FC" w:rsidP="00E650FC">
            <w:pPr>
              <w:pStyle w:val="DHHSbody"/>
              <w:rPr>
                <w:b/>
              </w:rPr>
            </w:pPr>
          </w:p>
        </w:tc>
        <w:tc>
          <w:tcPr>
            <w:tcW w:w="1417" w:type="dxa"/>
          </w:tcPr>
          <w:p w14:paraId="582E2E16" w14:textId="77777777" w:rsidR="00E650FC" w:rsidRPr="001A58A7" w:rsidRDefault="00E650FC" w:rsidP="00E650FC">
            <w:pPr>
              <w:pStyle w:val="DHHSbody"/>
              <w:rPr>
                <w:b/>
              </w:rPr>
            </w:pPr>
          </w:p>
        </w:tc>
        <w:tc>
          <w:tcPr>
            <w:tcW w:w="1418" w:type="dxa"/>
          </w:tcPr>
          <w:p w14:paraId="7EAAE3B2" w14:textId="77777777" w:rsidR="00E650FC" w:rsidRPr="001A58A7" w:rsidRDefault="00E650FC" w:rsidP="00E650FC">
            <w:pPr>
              <w:pStyle w:val="DHHSbody"/>
              <w:rPr>
                <w:b/>
              </w:rPr>
            </w:pPr>
          </w:p>
        </w:tc>
        <w:tc>
          <w:tcPr>
            <w:tcW w:w="2004" w:type="dxa"/>
          </w:tcPr>
          <w:p w14:paraId="7CEE1E78" w14:textId="77777777" w:rsidR="00E650FC" w:rsidRPr="001A58A7" w:rsidRDefault="00E650FC" w:rsidP="00E650FC">
            <w:pPr>
              <w:pStyle w:val="DHHSbody"/>
              <w:rPr>
                <w:b/>
              </w:rPr>
            </w:pPr>
          </w:p>
        </w:tc>
        <w:tc>
          <w:tcPr>
            <w:tcW w:w="1256" w:type="dxa"/>
          </w:tcPr>
          <w:p w14:paraId="5613D6B5" w14:textId="77777777" w:rsidR="00E650FC" w:rsidRPr="001A58A7" w:rsidRDefault="00E650FC" w:rsidP="00E650FC">
            <w:pPr>
              <w:pStyle w:val="DHHSbody"/>
              <w:rPr>
                <w:b/>
              </w:rPr>
            </w:pPr>
          </w:p>
        </w:tc>
      </w:tr>
    </w:tbl>
    <w:p w14:paraId="57E51123" w14:textId="77777777" w:rsidR="00E650FC" w:rsidRPr="00E650FC" w:rsidRDefault="00E650FC" w:rsidP="00E650FC">
      <w:pPr>
        <w:pStyle w:val="Body"/>
      </w:pPr>
    </w:p>
    <w:p w14:paraId="7DE1A0B5" w14:textId="77777777" w:rsidR="00200176" w:rsidRDefault="00200176" w:rsidP="00E650FC">
      <w:pPr>
        <w:pStyle w:val="Body"/>
      </w:pPr>
    </w:p>
    <w:p w14:paraId="6120818A" w14:textId="77777777" w:rsidR="00A63CC6" w:rsidRDefault="00A63CC6" w:rsidP="00E650FC">
      <w:pPr>
        <w:pStyle w:val="Body"/>
      </w:pPr>
    </w:p>
    <w:p w14:paraId="73C47840" w14:textId="77777777" w:rsidR="00A63CC6" w:rsidRPr="00200176" w:rsidRDefault="00A63CC6" w:rsidP="00E650FC">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C30695B" w14:textId="77777777" w:rsidTr="00EC40D5">
        <w:tc>
          <w:tcPr>
            <w:tcW w:w="10194" w:type="dxa"/>
          </w:tcPr>
          <w:p w14:paraId="7D45D452" w14:textId="1AF5B83A" w:rsidR="00312716" w:rsidRPr="0055119B" w:rsidRDefault="0055119B" w:rsidP="00312716">
            <w:pPr>
              <w:pStyle w:val="Accessibilitypara"/>
            </w:pPr>
            <w:bookmarkStart w:id="6" w:name="_Hlk37240926"/>
            <w:r w:rsidRPr="0055119B">
              <w:lastRenderedPageBreak/>
              <w:t>To receive this document in another format</w:t>
            </w:r>
            <w:r>
              <w:t>,</w:t>
            </w:r>
            <w:r w:rsidRPr="0055119B">
              <w:t xml:space="preserve"> phone</w:t>
            </w:r>
            <w:r w:rsidR="00955E48">
              <w:t xml:space="preserve"> the </w:t>
            </w:r>
            <w:r w:rsidRPr="0055119B">
              <w:t xml:space="preserve">National Relay Service 13 36 77 if required, or email </w:t>
            </w:r>
            <w:r w:rsidR="00312716" w:rsidRPr="0055119B">
              <w:t>&lt;</w:t>
            </w:r>
            <w:r w:rsidR="00312716">
              <w:t>healthservicesimprovement@health.vic.gov.au</w:t>
            </w:r>
            <w:r w:rsidR="00312716" w:rsidRPr="0055119B">
              <w:t>&gt;.</w:t>
            </w:r>
          </w:p>
          <w:p w14:paraId="33892FA6" w14:textId="77777777" w:rsidR="0055119B" w:rsidRPr="0055119B" w:rsidRDefault="0055119B" w:rsidP="00E650FC">
            <w:pPr>
              <w:pStyle w:val="Imprint"/>
            </w:pPr>
            <w:r w:rsidRPr="0055119B">
              <w:t>Authorised and published by the Victorian Government, 1 Treasury Place, Melbourne.</w:t>
            </w:r>
          </w:p>
          <w:p w14:paraId="30F5D144" w14:textId="62841188" w:rsidR="0055119B" w:rsidRPr="0055119B" w:rsidRDefault="0055119B" w:rsidP="00E650FC">
            <w:pPr>
              <w:pStyle w:val="Imprint"/>
            </w:pPr>
            <w:r w:rsidRPr="0055119B">
              <w:t xml:space="preserve">© State of Victoria, Australia, </w:t>
            </w:r>
            <w:r w:rsidR="001E2A36" w:rsidRPr="001E2A36">
              <w:t>Department of Health</w:t>
            </w:r>
            <w:r w:rsidRPr="0055119B">
              <w:t xml:space="preserve">, </w:t>
            </w:r>
            <w:r w:rsidR="00CE51D4">
              <w:t>June 2024</w:t>
            </w:r>
            <w:r w:rsidRPr="0055119B">
              <w:t>.</w:t>
            </w:r>
          </w:p>
          <w:p w14:paraId="5A236079" w14:textId="0F2BE9D9" w:rsidR="0055119B" w:rsidRPr="0055119B" w:rsidRDefault="00241090" w:rsidP="00E650FC">
            <w:pPr>
              <w:pStyle w:val="Imprint"/>
            </w:pPr>
            <w:r>
              <w:rPr>
                <w:rFonts w:cs="Arial"/>
                <w:b/>
                <w:bCs/>
                <w:color w:val="000000"/>
              </w:rPr>
              <w:t xml:space="preserve">ISBN </w:t>
            </w:r>
            <w:r>
              <w:rPr>
                <w:rFonts w:cs="Arial"/>
                <w:color w:val="000000"/>
              </w:rPr>
              <w:t xml:space="preserve">978-1-76131-600-5 </w:t>
            </w:r>
            <w:r>
              <w:rPr>
                <w:rFonts w:cs="Arial"/>
                <w:b/>
                <w:bCs/>
                <w:color w:val="000000"/>
              </w:rPr>
              <w:t>(online/MS word)</w:t>
            </w:r>
          </w:p>
          <w:p w14:paraId="15B06C1E" w14:textId="410C1073" w:rsidR="0055119B" w:rsidRDefault="00CE51D4" w:rsidP="00E650FC">
            <w:pPr>
              <w:pStyle w:val="Imprint"/>
            </w:pPr>
            <w:r w:rsidRPr="0055119B">
              <w:t xml:space="preserve">Available at </w:t>
            </w:r>
            <w:hyperlink r:id="rId20" w:history="1">
              <w:r>
                <w:rPr>
                  <w:rStyle w:val="Hyperlink"/>
                </w:rPr>
                <w:t>Surgical services policies and guides (health.vic.gov.au)</w:t>
              </w:r>
            </w:hyperlink>
            <w:r>
              <w:t xml:space="preserve"> </w:t>
            </w:r>
            <w:r w:rsidRPr="0055119B">
              <w:t>&lt;</w:t>
            </w:r>
            <w:r w:rsidRPr="00296184">
              <w:t>https://www.health.vic.gov.au/patient-care/surgical-services-policies-and-guides</w:t>
            </w:r>
            <w:r w:rsidRPr="0055119B">
              <w:t>&gt;</w:t>
            </w:r>
          </w:p>
        </w:tc>
      </w:tr>
      <w:bookmarkEnd w:id="6"/>
    </w:tbl>
    <w:p w14:paraId="58469336" w14:textId="77777777" w:rsidR="00162CA9" w:rsidRDefault="00162CA9" w:rsidP="00E650FC">
      <w:pPr>
        <w:pStyle w:val="Body"/>
      </w:pPr>
    </w:p>
    <w:sectPr w:rsidR="00162CA9" w:rsidSect="00E650FC">
      <w:type w:val="continuous"/>
      <w:pgSz w:w="16838" w:h="11906" w:orient="landscape" w:code="9"/>
      <w:pgMar w:top="851" w:right="1418" w:bottom="851" w:left="1418"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D63E" w14:textId="77777777" w:rsidR="002E37F0" w:rsidRDefault="002E37F0">
      <w:r>
        <w:separator/>
      </w:r>
    </w:p>
  </w:endnote>
  <w:endnote w:type="continuationSeparator" w:id="0">
    <w:p w14:paraId="72426871" w14:textId="77777777" w:rsidR="002E37F0" w:rsidRDefault="002E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68F5A77" wp14:editId="248E82D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A3F26E3" wp14:editId="33C39AB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3F26E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2127C66" wp14:editId="4A3B37C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127C6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5CD8E99F" wp14:editId="0887686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D8E99F"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A1341" w14:textId="77777777" w:rsidR="002E37F0" w:rsidRDefault="002E37F0" w:rsidP="002862F1">
      <w:pPr>
        <w:spacing w:before="120"/>
      </w:pPr>
      <w:r>
        <w:separator/>
      </w:r>
    </w:p>
  </w:footnote>
  <w:footnote w:type="continuationSeparator" w:id="0">
    <w:p w14:paraId="488636E9" w14:textId="77777777" w:rsidR="002E37F0" w:rsidRDefault="002E3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204558E4" w:rsidR="00E261B3" w:rsidRPr="0051568D" w:rsidRDefault="0078014F" w:rsidP="0011701A">
    <w:pPr>
      <w:pStyle w:val="Header"/>
    </w:pPr>
    <w:r>
      <w:t xml:space="preserve">Readiness self-assessment tool – </w:t>
    </w:r>
    <w:r w:rsidRPr="0001625A">
      <w:t>Planned Surgery Access Policy</w:t>
    </w:r>
    <w:r>
      <w:t xml:space="preserve">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FDE6A2B"/>
    <w:multiLevelType w:val="hybridMultilevel"/>
    <w:tmpl w:val="5E52F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BBF51C1"/>
    <w:multiLevelType w:val="hybridMultilevel"/>
    <w:tmpl w:val="22DC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1965A28"/>
    <w:multiLevelType w:val="hybridMultilevel"/>
    <w:tmpl w:val="CEF2D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CB7FA0"/>
    <w:multiLevelType w:val="multilevel"/>
    <w:tmpl w:val="E2463E22"/>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62E6D26"/>
    <w:multiLevelType w:val="hybridMultilevel"/>
    <w:tmpl w:val="A176A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C5217B"/>
    <w:multiLevelType w:val="hybridMultilevel"/>
    <w:tmpl w:val="3DFA28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DA81714"/>
    <w:multiLevelType w:val="hybridMultilevel"/>
    <w:tmpl w:val="1758D80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2" w15:restartNumberingAfterBreak="0">
    <w:nsid w:val="6E2D7F66"/>
    <w:multiLevelType w:val="hybridMultilevel"/>
    <w:tmpl w:val="A5B0E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05523E"/>
    <w:multiLevelType w:val="hybridMultilevel"/>
    <w:tmpl w:val="D1100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8521669">
    <w:abstractNumId w:val="10"/>
  </w:num>
  <w:num w:numId="2" w16cid:durableId="528838261">
    <w:abstractNumId w:val="19"/>
  </w:num>
  <w:num w:numId="3" w16cid:durableId="16881709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3631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82341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37726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7227735">
    <w:abstractNumId w:val="25"/>
  </w:num>
  <w:num w:numId="8" w16cid:durableId="163473771">
    <w:abstractNumId w:val="17"/>
  </w:num>
  <w:num w:numId="9" w16cid:durableId="1137454131">
    <w:abstractNumId w:val="24"/>
  </w:num>
  <w:num w:numId="10" w16cid:durableId="12172742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7011276">
    <w:abstractNumId w:val="27"/>
  </w:num>
  <w:num w:numId="12" w16cid:durableId="11220696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0632816">
    <w:abstractNumId w:val="20"/>
  </w:num>
  <w:num w:numId="14" w16cid:durableId="19328103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38056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5876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15427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9710332">
    <w:abstractNumId w:val="30"/>
  </w:num>
  <w:num w:numId="19" w16cid:durableId="1362662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2328872">
    <w:abstractNumId w:val="14"/>
  </w:num>
  <w:num w:numId="21" w16cid:durableId="828404291">
    <w:abstractNumId w:val="12"/>
  </w:num>
  <w:num w:numId="22" w16cid:durableId="264770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6471162">
    <w:abstractNumId w:val="16"/>
  </w:num>
  <w:num w:numId="24" w16cid:durableId="213125909">
    <w:abstractNumId w:val="34"/>
  </w:num>
  <w:num w:numId="25" w16cid:durableId="482308443">
    <w:abstractNumId w:val="28"/>
  </w:num>
  <w:num w:numId="26" w16cid:durableId="11957334">
    <w:abstractNumId w:val="23"/>
  </w:num>
  <w:num w:numId="27" w16cid:durableId="1151363474">
    <w:abstractNumId w:val="11"/>
  </w:num>
  <w:num w:numId="28" w16cid:durableId="970327756">
    <w:abstractNumId w:val="35"/>
  </w:num>
  <w:num w:numId="29" w16cid:durableId="1431007400">
    <w:abstractNumId w:val="9"/>
  </w:num>
  <w:num w:numId="30" w16cid:durableId="783572779">
    <w:abstractNumId w:val="7"/>
  </w:num>
  <w:num w:numId="31" w16cid:durableId="1850951494">
    <w:abstractNumId w:val="6"/>
  </w:num>
  <w:num w:numId="32" w16cid:durableId="1374768900">
    <w:abstractNumId w:val="5"/>
  </w:num>
  <w:num w:numId="33" w16cid:durableId="1837530461">
    <w:abstractNumId w:val="4"/>
  </w:num>
  <w:num w:numId="34" w16cid:durableId="1987199790">
    <w:abstractNumId w:val="8"/>
  </w:num>
  <w:num w:numId="35" w16cid:durableId="827206967">
    <w:abstractNumId w:val="3"/>
  </w:num>
  <w:num w:numId="36" w16cid:durableId="731731230">
    <w:abstractNumId w:val="2"/>
  </w:num>
  <w:num w:numId="37" w16cid:durableId="1389840489">
    <w:abstractNumId w:val="1"/>
  </w:num>
  <w:num w:numId="38" w16cid:durableId="1999072626">
    <w:abstractNumId w:val="0"/>
  </w:num>
  <w:num w:numId="39" w16cid:durableId="20641337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628075">
    <w:abstractNumId w:val="22"/>
  </w:num>
  <w:num w:numId="41" w16cid:durableId="1238712246">
    <w:abstractNumId w:val="32"/>
  </w:num>
  <w:num w:numId="42" w16cid:durableId="937328014">
    <w:abstractNumId w:val="15"/>
  </w:num>
  <w:num w:numId="43" w16cid:durableId="1852404079">
    <w:abstractNumId w:val="33"/>
  </w:num>
  <w:num w:numId="44" w16cid:durableId="252781494">
    <w:abstractNumId w:val="21"/>
  </w:num>
  <w:num w:numId="45" w16cid:durableId="507133340">
    <w:abstractNumId w:val="26"/>
  </w:num>
  <w:num w:numId="46" w16cid:durableId="180366086">
    <w:abstractNumId w:val="18"/>
  </w:num>
  <w:num w:numId="47" w16cid:durableId="1103766155">
    <w:abstractNumId w:val="31"/>
  </w:num>
  <w:num w:numId="48" w16cid:durableId="349722862">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1090"/>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37F0"/>
    <w:rsid w:val="002E6C95"/>
    <w:rsid w:val="002E7C36"/>
    <w:rsid w:val="002F0107"/>
    <w:rsid w:val="002F3D32"/>
    <w:rsid w:val="002F5F31"/>
    <w:rsid w:val="002F5F46"/>
    <w:rsid w:val="00302216"/>
    <w:rsid w:val="00303E53"/>
    <w:rsid w:val="00305CC1"/>
    <w:rsid w:val="00306E5F"/>
    <w:rsid w:val="00307E14"/>
    <w:rsid w:val="00312716"/>
    <w:rsid w:val="00314054"/>
    <w:rsid w:val="00315BD8"/>
    <w:rsid w:val="00316F27"/>
    <w:rsid w:val="003214F1"/>
    <w:rsid w:val="00322E4B"/>
    <w:rsid w:val="00327870"/>
    <w:rsid w:val="003317A4"/>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17848"/>
    <w:rsid w:val="0042084E"/>
    <w:rsid w:val="00421EEF"/>
    <w:rsid w:val="00424D65"/>
    <w:rsid w:val="00442C6C"/>
    <w:rsid w:val="00443CBE"/>
    <w:rsid w:val="00443E8A"/>
    <w:rsid w:val="004441BC"/>
    <w:rsid w:val="004468B4"/>
    <w:rsid w:val="0045230A"/>
    <w:rsid w:val="00454AD0"/>
    <w:rsid w:val="00457337"/>
    <w:rsid w:val="00457FC3"/>
    <w:rsid w:val="00462E3D"/>
    <w:rsid w:val="00463012"/>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94FF6"/>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1EE0"/>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61A"/>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9"/>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014F"/>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24747"/>
    <w:rsid w:val="00832517"/>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9BA"/>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5E48"/>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33C9"/>
    <w:rsid w:val="00A63CC6"/>
    <w:rsid w:val="00A67263"/>
    <w:rsid w:val="00A7161C"/>
    <w:rsid w:val="00A734F4"/>
    <w:rsid w:val="00A74917"/>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974F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E51D4"/>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50FC"/>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130D"/>
    <w:rsid w:val="00F16F1B"/>
    <w:rsid w:val="00F203DF"/>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15:docId w15:val="{B15A50C9-EF4C-1C43-804F-7E27F0D4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character" w:customStyle="1" w:styleId="normaltextrun">
    <w:name w:val="normaltextrun"/>
    <w:basedOn w:val="DefaultParagraphFont"/>
    <w:rsid w:val="00E650FC"/>
  </w:style>
  <w:style w:type="paragraph" w:customStyle="1" w:styleId="DHHSbody">
    <w:name w:val="DHHS body"/>
    <w:qFormat/>
    <w:rsid w:val="00E650FC"/>
    <w:pPr>
      <w:spacing w:after="120" w:line="270" w:lineRule="atLeast"/>
    </w:pPr>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patient-care/surgical-services-policies-and-guides" TargetMode="External"/><Relationship Id="rId2" Type="http://schemas.openxmlformats.org/officeDocument/2006/relationships/customXml" Target="../customXml/item2.xml"/><Relationship Id="rId16" Type="http://schemas.openxmlformats.org/officeDocument/2006/relationships/hyperlink" Target="mailto:healthservicesimprovement@health.vic.gov.au" TargetMode="External"/><Relationship Id="rId20" Type="http://schemas.openxmlformats.org/officeDocument/2006/relationships/hyperlink" Target="https://www.health.vic.gov.au/patient-care/surgical-services-policies-and-guid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health.vic.gov.au/data-reporting/elective-surgery-information-system-es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060adbb-d777-4224-ba8a-6d2bd1ccbbcc" xsi:nil="true"/>
    <Internal_x0020_stakeholders xmlns="04ed2268-8bc4-43a2-995d-d63598678b97" xsi:nil="true"/>
    <External_x0020_stakeholders xmlns="04ed2268-8bc4-43a2-995d-d63598678b97" xsi:nil="true"/>
    <BAC_x0020_No_x002e_ xmlns="04ed2268-8bc4-43a2-995d-d63598678b97" xsi:nil="true"/>
    <Date_x0020__x0028_ISO_x003a_8601_x0029_ xmlns="04ed2268-8bc4-43a2-995d-d63598678b97" xsi:nil="true"/>
    <Draft xmlns="04ed2268-8bc4-43a2-995d-d63598678b97" xsi:nil="true"/>
    <lcf76f155ced4ddcb4097134ff3c332f xmlns="04ed2268-8bc4-43a2-995d-d63598678b97">
      <Terms xmlns="http://schemas.microsoft.com/office/infopath/2007/PartnerControls"/>
    </lcf76f155ced4ddcb4097134ff3c332f>
    <TRIM_x0020_number xmlns="04ed2268-8bc4-43a2-995d-d63598678b97" xsi:nil="true"/>
    <Financial_x0020_year xmlns="04ed2268-8bc4-43a2-995d-d63598678b97" xsi:nil="true"/>
    <Approval_x0020_status xmlns="04ed2268-8bc4-43a2-995d-d63598678b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6292277EE0A84297425D21754237BC" ma:contentTypeVersion="25" ma:contentTypeDescription="Create a new document." ma:contentTypeScope="" ma:versionID="ce876eefd2ba70c76a5262629e2899e4">
  <xsd:schema xmlns:xsd="http://www.w3.org/2001/XMLSchema" xmlns:xs="http://www.w3.org/2001/XMLSchema" xmlns:p="http://schemas.microsoft.com/office/2006/metadata/properties" xmlns:ns2="04ed2268-8bc4-43a2-995d-d63598678b97" xmlns:ns3="6060adbb-d777-4224-ba8a-6d2bd1ccbbcc" targetNamespace="http://schemas.microsoft.com/office/2006/metadata/properties" ma:root="true" ma:fieldsID="5005a8a7b50395e5d1bab346a7cfd6aa" ns2:_="" ns3:_="">
    <xsd:import namespace="04ed2268-8bc4-43a2-995d-d63598678b97"/>
    <xsd:import namespace="6060adbb-d777-4224-ba8a-6d2bd1ccbbcc"/>
    <xsd:element name="properties">
      <xsd:complexType>
        <xsd:sequence>
          <xsd:element name="documentManagement">
            <xsd:complexType>
              <xsd:all>
                <xsd:element ref="ns2:Date_x0020__x0028_ISO_x003a_8601_x0029_" minOccurs="0"/>
                <xsd:element ref="ns2:Internal_x0020_stakeholders" minOccurs="0"/>
                <xsd:element ref="ns2:External_x0020_stakeholders" minOccurs="0"/>
                <xsd:element ref="ns2:BAC_x0020_No_x002e_" minOccurs="0"/>
                <xsd:element ref="ns2:Draft" minOccurs="0"/>
                <xsd:element ref="ns2:Approval_x0020_status" minOccurs="0"/>
                <xsd:element ref="ns2:TRIM_x0020_number" minOccurs="0"/>
                <xsd:element ref="ns2:Financial_x0020_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d2268-8bc4-43a2-995d-d63598678b97" elementFormDefault="qualified">
    <xsd:import namespace="http://schemas.microsoft.com/office/2006/documentManagement/types"/>
    <xsd:import namespace="http://schemas.microsoft.com/office/infopath/2007/PartnerControls"/>
    <xsd:element name="Date_x0020__x0028_ISO_x003a_8601_x0029_" ma:index="8" nillable="true" ma:displayName="Date (ISO:8601)" ma:description="ISO:8601 Standard YYYYMMDD" ma:format="Dropdown" ma:internalName="Date_x0020__x0028_ISO_x003a_8601_x0029_">
      <xsd:simpleType>
        <xsd:restriction base="dms:Text">
          <xsd:maxLength value="255"/>
        </xsd:restriction>
      </xsd:simpleType>
    </xsd:element>
    <xsd:element name="Internal_x0020_stakeholders" ma:index="9"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10" nillable="true" ma:displayName="External stakeholders" ma:description="Type in the name(s) of the key external organisation(s) you are collaborating with to help you keep track." ma:internalName="External_x0020_stakeholders">
      <xsd:simpleType>
        <xsd:restriction base="dms:Text">
          <xsd:maxLength value="255"/>
        </xsd:restriction>
      </xsd:simpleType>
    </xsd:element>
    <xsd:element name="BAC_x0020_No_x002e_" ma:index="11" nillable="true" ma:displayName="BAC No." ma:description="OurBriefing BAC number" ma:internalName="BAC_x0020_No_x002e_">
      <xsd:simpleType>
        <xsd:restriction base="dms:Text">
          <xsd:maxLength value="255"/>
        </xsd:restriction>
      </xsd:simpleType>
    </xsd:element>
    <xsd:element name="Draft" ma:index="12" nillable="true" ma:displayName="Draft" ma:description="The file name must not include 'Draft' or 'Version', choose an option from below." ma:format="Dropdown" ma:internalName="Draft">
      <xsd:simpleType>
        <xsd:restriction base="dms:Choice">
          <xsd:enumeration value="N/A"/>
          <xsd:enumeration value="V1"/>
          <xsd:enumeration value="V2"/>
          <xsd:enumeration value="V3"/>
          <xsd:enumeration value="V4"/>
          <xsd:enumeration value="Final"/>
        </xsd:restriction>
      </xsd:simpleType>
    </xsd:element>
    <xsd:element name="Approval_x0020_status" ma:index="13" nillable="true" ma:displayName="Approval status" ma:description="Track and update the approval status of your file-document."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TRIM_x0020_number" ma:index="14" nillable="true" ma:displayName="TRIM No." ma:description="TRIM file number" ma:format="Dropdown" ma:internalName="TRIM_x0020_number">
      <xsd:simpleType>
        <xsd:restriction base="dms:Text">
          <xsd:maxLength value="255"/>
        </xsd:restriction>
      </xsd:simpleType>
    </xsd:element>
    <xsd:element name="Financial_x0020_year" ma:index="15" nillable="true" ma:displayName="Financial year" ma:description="Enter as YYYY-YYYY" ma:internalName="Financial_x0020_year">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0adbb-d777-4224-ba8a-6d2bd1ccbb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cbd9a69-543d-4ef7-b628-5408f8c72414}" ma:internalName="TaxCatchAll" ma:showField="CatchAllData" ma:web="6060adbb-d777-4224-ba8a-6d2bd1ccb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6060adbb-d777-4224-ba8a-6d2bd1ccbbcc"/>
    <ds:schemaRef ds:uri="04ed2268-8bc4-43a2-995d-d63598678b97"/>
  </ds:schemaRefs>
</ds:datastoreItem>
</file>

<file path=customXml/itemProps4.xml><?xml version="1.0" encoding="utf-8"?>
<ds:datastoreItem xmlns:ds="http://schemas.openxmlformats.org/officeDocument/2006/customXml" ds:itemID="{DAA0D629-9666-4016-8CAF-B47F18700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d2268-8bc4-43a2-995d-d63598678b97"/>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1358</Words>
  <Characters>7741</Characters>
  <Application>Microsoft Office Word</Application>
  <DocSecurity>2</DocSecurity>
  <Lines>64</Lines>
  <Paragraphs>18</Paragraphs>
  <ScaleCrop>false</ScaleCrop>
  <HeadingPairs>
    <vt:vector size="2" baseType="variant">
      <vt:variant>
        <vt:lpstr>Title</vt:lpstr>
      </vt:variant>
      <vt:variant>
        <vt:i4>1</vt:i4>
      </vt:variant>
    </vt:vector>
  </HeadingPairs>
  <TitlesOfParts>
    <vt:vector size="1" baseType="lpstr">
      <vt:lpstr>Readiness self-assessment tool for health services planned surgery access policy</vt:lpstr>
    </vt:vector>
  </TitlesOfParts>
  <Manager/>
  <Company>Victoria State Government, Department of Health</Company>
  <LinksUpToDate>false</LinksUpToDate>
  <CharactersWithSpaces>9081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Readiness self-assessment tool for health services planned surgery access policy</dc:title>
  <dc:subject>readiness assessment tool for health services to use to ass their readiness for the Planned surgery access policy 2024</dc:subject>
  <dc:creator>Hopsital Policy team</dc:creator>
  <cp:keywords>readiness assessment tool, self-assessment readiness tool, planned surgery access policy 2024</cp:keywords>
  <dc:description/>
  <cp:lastModifiedBy>Claire East (Health)</cp:lastModifiedBy>
  <cp:revision>16</cp:revision>
  <cp:lastPrinted>2020-03-30T03:28:00Z</cp:lastPrinted>
  <dcterms:created xsi:type="dcterms:W3CDTF">2024-06-19T00:09:00Z</dcterms:created>
  <dcterms:modified xsi:type="dcterms:W3CDTF">2024-06-19T05:13:00Z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0x010100F36292277EE0A84297425D21754237BC</vt:lpwstr>
  </property>
  <property fmtid="{D5CDD505-2E9C-101B-9397-08002B2CF9AE}" pid="4" name="version">
    <vt:lpwstr>v5 12032021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WebPage">
    <vt:lpwstr>https://dhhsvicgovau.sharepoint.com/:w:/s/health/EWXaUebzii1ImqUlOVrj5wgBj3yDAksswrcvHFrRz7p5ng, https://dhhsvicgovau.sharepoint.com/:w:/s/health/EWXaUebzii1ImqUlOVrj5wgBj3yDAksswrcvHFrRz7p5ng</vt:lpwstr>
  </property>
  <property fmtid="{D5CDD505-2E9C-101B-9397-08002B2CF9AE}" pid="13" name="Days before next review">
    <vt:r8>365</vt:r8>
  </property>
  <property fmtid="{D5CDD505-2E9C-101B-9397-08002B2CF9AE}" pid="14" name="_ExtendedDescription">
    <vt:lpwstr/>
  </property>
  <property fmtid="{D5CDD505-2E9C-101B-9397-08002B2CF9AE}" pid="15" name="Tags">
    <vt:lpwstr/>
  </property>
  <property fmtid="{D5CDD505-2E9C-101B-9397-08002B2CF9AE}" pid="16" name="MSIP_Label_43e64453-338c-4f93-8a4d-0039a0a41f2a_Enabled">
    <vt:lpwstr>true</vt:lpwstr>
  </property>
  <property fmtid="{D5CDD505-2E9C-101B-9397-08002B2CF9AE}" pid="17" name="MSIP_Label_43e64453-338c-4f93-8a4d-0039a0a41f2a_SetDate">
    <vt:lpwstr>2022-10-05T04:41:18Z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ea3dbc30-f636-4464-a512-ebc5704ca4cb</vt:lpwstr>
  </property>
  <property fmtid="{D5CDD505-2E9C-101B-9397-08002B2CF9AE}" pid="22" name="MSIP_Label_43e64453-338c-4f93-8a4d-0039a0a41f2a_ContentBits">
    <vt:lpwstr>2</vt:lpwstr>
  </property>
  <property fmtid="{D5CDD505-2E9C-101B-9397-08002B2CF9AE}" pid="23" name="GrammarlyDocumentId">
    <vt:lpwstr>6f371feca35d57bb09d1bb6e41d2632a7dab88f4d3422f1149ca61f9d8dbadcb</vt:lpwstr>
  </property>
  <property fmtid="{D5CDD505-2E9C-101B-9397-08002B2CF9AE}" pid="24" name="MediaServiceImageTags">
    <vt:lpwstr/>
  </property>
</Properties>
</file>