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63DA" w14:textId="77777777" w:rsidR="0074696E" w:rsidRPr="00BF53D9" w:rsidRDefault="00904AB4" w:rsidP="00EC40D5">
      <w:pPr>
        <w:pStyle w:val="Sectionbreakfirstpage"/>
        <w:rPr>
          <w:rFonts w:cs="Arial"/>
        </w:rPr>
      </w:pPr>
      <w:r w:rsidRPr="00BF53D9">
        <w:rPr>
          <w:rFonts w:cs="Arial"/>
        </w:rPr>
        <w:drawing>
          <wp:anchor distT="0" distB="0" distL="114300" distR="114300" simplePos="0" relativeHeight="251658240" behindDoc="1" locked="1" layoutInCell="1" allowOverlap="0" wp14:anchorId="266ECC45" wp14:editId="039F406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8845A" w14:textId="77777777" w:rsidR="00A62D44" w:rsidRPr="00BF53D9" w:rsidRDefault="00A62D44" w:rsidP="00EC40D5">
      <w:pPr>
        <w:pStyle w:val="Sectionbreakfirstpage"/>
        <w:rPr>
          <w:rFonts w:cs="Arial"/>
        </w:rPr>
        <w:sectPr w:rsidR="00A62D44" w:rsidRPr="00BF53D9" w:rsidSect="00E62622">
          <w:headerReference w:type="default" r:id="rId12"/>
          <w:footerReference w:type="defaul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BF53D9" w14:paraId="01AF7EC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AAA4896" w14:textId="22A88716" w:rsidR="003B5733" w:rsidRPr="00BF53D9" w:rsidRDefault="00FA6070" w:rsidP="003B5733">
            <w:pPr>
              <w:pStyle w:val="Documenttitle"/>
              <w:rPr>
                <w:rFonts w:cs="Arial"/>
              </w:rPr>
            </w:pPr>
            <w:r w:rsidRPr="00BF53D9">
              <w:rPr>
                <w:rFonts w:cs="Arial"/>
                <w:bCs/>
              </w:rPr>
              <w:t>Abstract of accounts checklist</w:t>
            </w:r>
          </w:p>
        </w:tc>
      </w:tr>
      <w:tr w:rsidR="003B5733" w:rsidRPr="00BF53D9" w14:paraId="26ED3E91" w14:textId="77777777" w:rsidTr="00B07FF7">
        <w:tc>
          <w:tcPr>
            <w:tcW w:w="10348" w:type="dxa"/>
          </w:tcPr>
          <w:p w14:paraId="5AA27EF4" w14:textId="77777777" w:rsidR="003B5733" w:rsidRPr="00BF53D9" w:rsidRDefault="008A3D04" w:rsidP="001E5058">
            <w:pPr>
              <w:pStyle w:val="Bannermarking"/>
              <w:rPr>
                <w:rFonts w:cs="Arial"/>
              </w:rPr>
            </w:pPr>
            <w:r w:rsidRPr="00BF53D9">
              <w:rPr>
                <w:rFonts w:cs="Arial"/>
              </w:rPr>
              <w:fldChar w:fldCharType="begin"/>
            </w:r>
            <w:r w:rsidRPr="00BF53D9">
              <w:rPr>
                <w:rFonts w:cs="Arial"/>
              </w:rPr>
              <w:instrText>FILLIN  "Type the protective marking" \d OFFICIAL \o  \* MERGEFORMAT</w:instrText>
            </w:r>
            <w:r w:rsidRPr="00BF53D9">
              <w:rPr>
                <w:rFonts w:cs="Arial"/>
              </w:rPr>
              <w:fldChar w:fldCharType="separate"/>
            </w:r>
            <w:r w:rsidR="00FA6070" w:rsidRPr="00BF53D9">
              <w:rPr>
                <w:rFonts w:cs="Arial"/>
              </w:rPr>
              <w:t>OFFICIAL</w:t>
            </w:r>
            <w:r w:rsidRPr="00BF53D9">
              <w:rPr>
                <w:rFonts w:cs="Arial"/>
              </w:rPr>
              <w:fldChar w:fldCharType="end"/>
            </w:r>
          </w:p>
        </w:tc>
      </w:tr>
    </w:tbl>
    <w:p w14:paraId="4AD1217F" w14:textId="0276665F" w:rsidR="007173CA" w:rsidRPr="00BF53D9" w:rsidRDefault="007173CA" w:rsidP="00D079AA">
      <w:pPr>
        <w:pStyle w:val="Body"/>
        <w:rPr>
          <w:rFonts w:cs="Arial"/>
        </w:rPr>
      </w:pPr>
    </w:p>
    <w:p w14:paraId="53FEF168" w14:textId="77777777" w:rsidR="00580394" w:rsidRPr="00BF53D9" w:rsidRDefault="00580394" w:rsidP="007173CA">
      <w:pPr>
        <w:pStyle w:val="Body"/>
        <w:rPr>
          <w:rFonts w:cs="Arial"/>
        </w:rPr>
        <w:sectPr w:rsidR="00580394" w:rsidRPr="00BF53D9" w:rsidSect="00E62622">
          <w:headerReference w:type="default" r:id="rId14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59B03F0" w14:textId="7429E17F" w:rsidR="008F1FF0" w:rsidRPr="00BF53D9" w:rsidRDefault="008F1FF0" w:rsidP="008F1FF0">
      <w:pPr>
        <w:pStyle w:val="Body"/>
        <w:rPr>
          <w:rFonts w:cs="Arial"/>
        </w:rPr>
      </w:pPr>
      <w:bookmarkStart w:id="0" w:name="_Hlk41913885"/>
      <w:r w:rsidRPr="00BF53D9">
        <w:rPr>
          <w:rFonts w:cs="Arial"/>
        </w:rPr>
        <w:t>This checklist is a guide to help Class B cemetery trusts</w:t>
      </w:r>
      <w:r w:rsidR="00B93B85">
        <w:rPr>
          <w:rFonts w:cs="Arial"/>
        </w:rPr>
        <w:t xml:space="preserve"> to</w:t>
      </w:r>
      <w:r w:rsidRPr="00BF53D9">
        <w:rPr>
          <w:rFonts w:cs="Arial"/>
        </w:rPr>
        <w:t xml:space="preserve"> complete all required components of the </w:t>
      </w:r>
      <w:r w:rsidR="00046E68" w:rsidRPr="00BF53D9">
        <w:rPr>
          <w:rFonts w:cs="Arial"/>
        </w:rPr>
        <w:t>a</w:t>
      </w:r>
      <w:r w:rsidRPr="00BF53D9">
        <w:rPr>
          <w:rFonts w:cs="Arial"/>
        </w:rPr>
        <w:t xml:space="preserve">bstract of accounts, due on 1 September each year. The checklist does not need to be submitted with the </w:t>
      </w:r>
      <w:r w:rsidR="00046E68" w:rsidRPr="00BF53D9">
        <w:rPr>
          <w:rFonts w:cs="Arial"/>
        </w:rPr>
        <w:t>a</w:t>
      </w:r>
      <w:r w:rsidRPr="00BF53D9">
        <w:rPr>
          <w:rFonts w:cs="Arial"/>
        </w:rPr>
        <w:t xml:space="preserve">bstract. </w:t>
      </w:r>
    </w:p>
    <w:p w14:paraId="76800EAD" w14:textId="04D51DE3" w:rsidR="00F32368" w:rsidRPr="00BF53D9" w:rsidRDefault="008F1FF0" w:rsidP="008F1FF0">
      <w:pPr>
        <w:pStyle w:val="Body"/>
        <w:spacing w:after="240"/>
        <w:rPr>
          <w:rFonts w:cs="Arial"/>
        </w:rPr>
      </w:pPr>
      <w:r w:rsidRPr="00BF53D9">
        <w:rPr>
          <w:rFonts w:cs="Arial"/>
        </w:rPr>
        <w:t xml:space="preserve">If you have any questions about completing the </w:t>
      </w:r>
      <w:r w:rsidR="00046E68" w:rsidRPr="00BF53D9">
        <w:rPr>
          <w:rFonts w:cs="Arial"/>
        </w:rPr>
        <w:t>a</w:t>
      </w:r>
      <w:r w:rsidRPr="00BF53D9">
        <w:rPr>
          <w:rFonts w:cs="Arial"/>
        </w:rPr>
        <w:t xml:space="preserve">bstract, please </w:t>
      </w:r>
      <w:hyperlink r:id="rId15" w:history="1">
        <w:r w:rsidR="00265FB4" w:rsidRPr="00265FB4">
          <w:rPr>
            <w:rStyle w:val="Hyperlink"/>
            <w:rFonts w:cs="Arial"/>
            <w:u w:val="none"/>
          </w:rPr>
          <w:t>email the department</w:t>
        </w:r>
      </w:hyperlink>
      <w:r w:rsidR="00265FB4">
        <w:rPr>
          <w:rFonts w:cs="Arial"/>
        </w:rPr>
        <w:t xml:space="preserve"> </w:t>
      </w:r>
      <w:r w:rsidRPr="00BF53D9">
        <w:rPr>
          <w:rFonts w:cs="Arial"/>
        </w:rPr>
        <w:t>&lt;cemeteries@health.vic.gov.au&gt;.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8784"/>
        <w:gridCol w:w="709"/>
        <w:gridCol w:w="708"/>
      </w:tblGrid>
      <w:tr w:rsidR="00FE7901" w:rsidRPr="00BF53D9" w14:paraId="6DB6D079" w14:textId="77777777" w:rsidTr="6BACF571">
        <w:trPr>
          <w:cantSplit/>
          <w:tblHeader/>
        </w:trPr>
        <w:tc>
          <w:tcPr>
            <w:tcW w:w="8784" w:type="dxa"/>
          </w:tcPr>
          <w:p w14:paraId="3D58FD66" w14:textId="096CC46F" w:rsidR="00FE7901" w:rsidRPr="00BF53D9" w:rsidRDefault="00FE7901" w:rsidP="006B0C4E">
            <w:pPr>
              <w:pStyle w:val="Tablecolhead"/>
              <w:rPr>
                <w:rFonts w:cs="Arial"/>
              </w:rPr>
            </w:pPr>
            <w:r w:rsidRPr="00BF53D9">
              <w:rPr>
                <w:rFonts w:cs="Arial"/>
              </w:rPr>
              <w:t>Requirement</w:t>
            </w:r>
          </w:p>
        </w:tc>
        <w:tc>
          <w:tcPr>
            <w:tcW w:w="709" w:type="dxa"/>
          </w:tcPr>
          <w:p w14:paraId="622C837E" w14:textId="7AC6A65F" w:rsidR="00FE7901" w:rsidRPr="00BF53D9" w:rsidRDefault="00FE7901" w:rsidP="006B0C4E">
            <w:pPr>
              <w:pStyle w:val="Tablecolhead"/>
              <w:rPr>
                <w:rFonts w:cs="Arial"/>
              </w:rPr>
            </w:pPr>
            <w:r w:rsidRPr="00BF53D9">
              <w:rPr>
                <w:rFonts w:cs="Arial"/>
              </w:rPr>
              <w:t>Yes</w:t>
            </w:r>
          </w:p>
        </w:tc>
        <w:tc>
          <w:tcPr>
            <w:tcW w:w="708" w:type="dxa"/>
          </w:tcPr>
          <w:p w14:paraId="19FE0680" w14:textId="072CF2EB" w:rsidR="00FE7901" w:rsidRPr="00BF53D9" w:rsidRDefault="00FE7901" w:rsidP="006B0C4E">
            <w:pPr>
              <w:pStyle w:val="Tablecolhead"/>
              <w:rPr>
                <w:rFonts w:cs="Arial"/>
              </w:rPr>
            </w:pPr>
            <w:r w:rsidRPr="00BF53D9">
              <w:rPr>
                <w:rFonts w:cs="Arial"/>
              </w:rPr>
              <w:t>N/A</w:t>
            </w:r>
          </w:p>
        </w:tc>
      </w:tr>
      <w:tr w:rsidR="00FE7901" w:rsidRPr="00BF53D9" w14:paraId="04B9CB94" w14:textId="77777777" w:rsidTr="6BACF571">
        <w:trPr>
          <w:cantSplit/>
        </w:trPr>
        <w:tc>
          <w:tcPr>
            <w:tcW w:w="8784" w:type="dxa"/>
          </w:tcPr>
          <w:p w14:paraId="004113A4" w14:textId="402B4096" w:rsidR="00FE7901" w:rsidRPr="00BF53D9" w:rsidRDefault="00AE74C3" w:rsidP="002125F8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The trust has completed an abstract </w:t>
            </w:r>
            <w:r w:rsidR="00FE7901" w:rsidRPr="00BF53D9">
              <w:rPr>
                <w:rFonts w:cs="Arial"/>
              </w:rPr>
              <w:t xml:space="preserve">on the form published for the correct financial year </w:t>
            </w:r>
          </w:p>
          <w:p w14:paraId="5B9B1D45" w14:textId="19F1F2BD" w:rsidR="00FE7901" w:rsidRPr="00BF53D9" w:rsidRDefault="00FE7901" w:rsidP="008F1FF0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Headings</w:t>
            </w:r>
            <w:r w:rsidR="00C3546D" w:rsidRPr="00BF53D9">
              <w:rPr>
                <w:rFonts w:cs="Arial"/>
              </w:rPr>
              <w:t xml:space="preserve"> and field labels</w:t>
            </w:r>
            <w:r w:rsidRPr="00BF53D9">
              <w:rPr>
                <w:rFonts w:cs="Arial"/>
              </w:rPr>
              <w:t xml:space="preserve"> in </w:t>
            </w:r>
            <w:r w:rsidR="00C3546D" w:rsidRPr="00BF53D9">
              <w:rPr>
                <w:rFonts w:cs="Arial"/>
              </w:rPr>
              <w:t xml:space="preserve">the </w:t>
            </w:r>
            <w:r w:rsidRPr="00BF53D9">
              <w:rPr>
                <w:rFonts w:cs="Arial"/>
              </w:rPr>
              <w:t>form should not be altered.</w:t>
            </w:r>
          </w:p>
          <w:p w14:paraId="68BEBDBA" w14:textId="5AD29012" w:rsidR="00FE7901" w:rsidRPr="00BF53D9" w:rsidRDefault="00FE7901" w:rsidP="008F1FF0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Trusts </w:t>
            </w:r>
            <w:r w:rsidRPr="00BF53D9">
              <w:rPr>
                <w:rFonts w:cs="Arial"/>
                <w:b/>
                <w:bCs/>
              </w:rPr>
              <w:t>must</w:t>
            </w:r>
            <w:r w:rsidRPr="00BF53D9">
              <w:rPr>
                <w:rFonts w:cs="Arial"/>
              </w:rPr>
              <w:t xml:space="preserve"> submit a signed abstract even if there is no income for the financial year.</w:t>
            </w:r>
          </w:p>
          <w:p w14:paraId="5C2C52D1" w14:textId="5AEDD632" w:rsidR="00FE7901" w:rsidRPr="00BF53D9" w:rsidRDefault="00FE7901" w:rsidP="008F1FF0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Trusts responsible for inactive or closed cemeteries </w:t>
            </w:r>
            <w:r w:rsidRPr="00BF53D9">
              <w:rPr>
                <w:rFonts w:cs="Arial"/>
                <w:b/>
                <w:bCs/>
              </w:rPr>
              <w:t>must</w:t>
            </w:r>
            <w:r w:rsidRPr="00BF53D9">
              <w:rPr>
                <w:rFonts w:cs="Arial"/>
              </w:rPr>
              <w:t xml:space="preserve"> submit a signed abstract.</w:t>
            </w:r>
          </w:p>
        </w:tc>
        <w:tc>
          <w:tcPr>
            <w:tcW w:w="709" w:type="dxa"/>
          </w:tcPr>
          <w:p w14:paraId="35A743D6" w14:textId="77777777" w:rsidR="00FE7901" w:rsidRPr="00BF53D9" w:rsidRDefault="00FE7901" w:rsidP="008F1FF0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52D0999E" w14:textId="6001870F" w:rsidR="00FE7901" w:rsidRPr="00BF53D9" w:rsidRDefault="00FE7901" w:rsidP="008F1FF0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052EE015" w14:textId="77777777" w:rsidTr="6BACF571">
        <w:trPr>
          <w:cantSplit/>
        </w:trPr>
        <w:tc>
          <w:tcPr>
            <w:tcW w:w="8784" w:type="dxa"/>
          </w:tcPr>
          <w:p w14:paraId="191BCBA0" w14:textId="77777777" w:rsidR="00FE7901" w:rsidRPr="00BF53D9" w:rsidRDefault="00FE7901" w:rsidP="00B46A6D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Bank statements</w:t>
            </w:r>
            <w:r w:rsidRPr="00BF53D9">
              <w:rPr>
                <w:rFonts w:cs="Arial"/>
              </w:rPr>
              <w:t xml:space="preserve"> are attached</w:t>
            </w:r>
          </w:p>
          <w:p w14:paraId="032E3318" w14:textId="6D2958C5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Only statements displaying the end of financial year balances are required.</w:t>
            </w:r>
          </w:p>
        </w:tc>
        <w:tc>
          <w:tcPr>
            <w:tcW w:w="709" w:type="dxa"/>
          </w:tcPr>
          <w:p w14:paraId="121DA451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1E6AE062" w14:textId="0204EDA6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756BB413" w14:textId="77777777" w:rsidTr="6BACF571">
        <w:trPr>
          <w:cantSplit/>
        </w:trPr>
        <w:tc>
          <w:tcPr>
            <w:tcW w:w="8784" w:type="dxa"/>
          </w:tcPr>
          <w:p w14:paraId="1D1D7BDB" w14:textId="77777777" w:rsidR="00FE7901" w:rsidRPr="00BF53D9" w:rsidRDefault="00FE7901" w:rsidP="00B46A6D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Investment statements</w:t>
            </w:r>
            <w:r w:rsidRPr="00BF53D9">
              <w:rPr>
                <w:rFonts w:cs="Arial"/>
              </w:rPr>
              <w:t xml:space="preserve"> are attached</w:t>
            </w:r>
          </w:p>
          <w:p w14:paraId="08B305F1" w14:textId="663F6B7C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Only statements displaying the end of financial year balances are required.</w:t>
            </w:r>
          </w:p>
        </w:tc>
        <w:tc>
          <w:tcPr>
            <w:tcW w:w="709" w:type="dxa"/>
          </w:tcPr>
          <w:p w14:paraId="736A8E82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56F7A46C" w14:textId="4D98A123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4E357315" w14:textId="77777777" w:rsidTr="6BACF571">
        <w:trPr>
          <w:cantSplit/>
        </w:trPr>
        <w:tc>
          <w:tcPr>
            <w:tcW w:w="8784" w:type="dxa"/>
          </w:tcPr>
          <w:p w14:paraId="24DC25D1" w14:textId="77777777" w:rsidR="00FE7901" w:rsidRPr="00BF53D9" w:rsidRDefault="00FE7901" w:rsidP="00B46A6D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Perpetual maintenance account statements</w:t>
            </w:r>
            <w:r w:rsidRPr="00BF53D9">
              <w:rPr>
                <w:rFonts w:cs="Arial"/>
              </w:rPr>
              <w:t xml:space="preserve"> are attached</w:t>
            </w:r>
          </w:p>
          <w:p w14:paraId="76923D96" w14:textId="2CA3962C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Only statements displaying the end of financial year balances are required.</w:t>
            </w:r>
          </w:p>
        </w:tc>
        <w:tc>
          <w:tcPr>
            <w:tcW w:w="709" w:type="dxa"/>
          </w:tcPr>
          <w:p w14:paraId="51E20CD7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6351A50B" w14:textId="78CC54E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0943C1C8" w14:textId="77777777" w:rsidTr="6BACF571">
        <w:trPr>
          <w:cantSplit/>
        </w:trPr>
        <w:tc>
          <w:tcPr>
            <w:tcW w:w="8784" w:type="dxa"/>
          </w:tcPr>
          <w:p w14:paraId="1AC4E842" w14:textId="2172F050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 xml:space="preserve">If the trust’s </w:t>
            </w:r>
            <w:r w:rsidRPr="00BF53D9">
              <w:rPr>
                <w:rFonts w:cs="Arial"/>
                <w:b/>
                <w:bCs/>
              </w:rPr>
              <w:t>income or expenditure is $250,000 to $1 million</w:t>
            </w:r>
            <w:r w:rsidRPr="00BF53D9">
              <w:rPr>
                <w:rFonts w:cs="Arial"/>
              </w:rPr>
              <w:t xml:space="preserve"> (inclusive</w:t>
            </w:r>
            <w:r w:rsidR="004472E3" w:rsidRPr="00BF53D9">
              <w:rPr>
                <w:rFonts w:cs="Arial"/>
              </w:rPr>
              <w:t xml:space="preserve"> – see definition on the front page of the abstract</w:t>
            </w:r>
            <w:r w:rsidRPr="00BF53D9">
              <w:rPr>
                <w:rFonts w:cs="Arial"/>
              </w:rPr>
              <w:t>), its abstract must be:</w:t>
            </w:r>
          </w:p>
          <w:p w14:paraId="0F0EF064" w14:textId="3D9CB9E1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prepared</w:t>
            </w:r>
            <w:r w:rsidRPr="00BF53D9">
              <w:rPr>
                <w:rFonts w:cs="Arial"/>
              </w:rPr>
              <w:t xml:space="preserve"> in accordance with the Australian Accounting Standards</w:t>
            </w:r>
          </w:p>
          <w:p w14:paraId="4B28D996" w14:textId="4093C2E8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reviewed</w:t>
            </w:r>
            <w:r w:rsidRPr="00BF53D9">
              <w:rPr>
                <w:rFonts w:cs="Arial"/>
              </w:rPr>
              <w:t xml:space="preserve"> by a professionally recognised accountant who is a member of the Institute of Chartered Accountants of Australia, or CPA Australia, or the National Institute of Accountants.</w:t>
            </w:r>
          </w:p>
          <w:p w14:paraId="1658500D" w14:textId="14687670" w:rsidR="00FE7901" w:rsidRPr="00BF53D9" w:rsidRDefault="00FE7901" w:rsidP="00B46A6D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 xml:space="preserve">Trusts that meet this threshold must </w:t>
            </w:r>
            <w:r w:rsidRPr="00AE74C3">
              <w:rPr>
                <w:rFonts w:cs="Arial"/>
                <w:b/>
                <w:bCs/>
              </w:rPr>
              <w:t xml:space="preserve">attach a copy of the review </w:t>
            </w:r>
            <w:r w:rsidRPr="00B93B85">
              <w:rPr>
                <w:rFonts w:cs="Arial"/>
              </w:rPr>
              <w:t>to their abstract</w:t>
            </w:r>
            <w:r w:rsidRPr="00BF53D9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6E4E4B1B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5503AE54" w14:textId="5F919000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5B4D50B1" w14:textId="77777777" w:rsidTr="6BACF571">
        <w:trPr>
          <w:cantSplit/>
        </w:trPr>
        <w:tc>
          <w:tcPr>
            <w:tcW w:w="8784" w:type="dxa"/>
          </w:tcPr>
          <w:p w14:paraId="460506B1" w14:textId="0CA82059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 xml:space="preserve">If the trust’s </w:t>
            </w:r>
            <w:r w:rsidRPr="00BF53D9">
              <w:rPr>
                <w:rFonts w:cs="Arial"/>
                <w:b/>
                <w:bCs/>
              </w:rPr>
              <w:t>income or expenditure is above $1 million</w:t>
            </w:r>
            <w:r w:rsidRPr="00BF53D9">
              <w:rPr>
                <w:rFonts w:cs="Arial"/>
              </w:rPr>
              <w:t xml:space="preserve"> (inclusive</w:t>
            </w:r>
            <w:r w:rsidR="004472E3" w:rsidRPr="00BF53D9">
              <w:rPr>
                <w:rFonts w:cs="Arial"/>
              </w:rPr>
              <w:t xml:space="preserve"> – see definition on the front page of the abstract</w:t>
            </w:r>
            <w:r w:rsidRPr="00BF53D9">
              <w:rPr>
                <w:rFonts w:cs="Arial"/>
              </w:rPr>
              <w:t>), its abstract must be:</w:t>
            </w:r>
          </w:p>
          <w:p w14:paraId="49DE89F2" w14:textId="0595C073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prepared</w:t>
            </w:r>
            <w:r w:rsidRPr="00BF53D9">
              <w:rPr>
                <w:rFonts w:cs="Arial"/>
              </w:rPr>
              <w:t xml:space="preserve"> in accordance with the Australian Accounting Standards</w:t>
            </w:r>
          </w:p>
          <w:p w14:paraId="795ED3FD" w14:textId="5D04AD9A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  <w:b/>
                <w:bCs/>
              </w:rPr>
              <w:t>audited</w:t>
            </w:r>
            <w:r w:rsidRPr="00BF53D9">
              <w:rPr>
                <w:rFonts w:cs="Arial"/>
              </w:rPr>
              <w:t xml:space="preserve"> in accordance with the Australian Auditing Standards by a registered auditor or a professionally recognised accountant who is a member of the Institute of Chartered Accountants of Australia, or CPA Australia, or the National Institute of Accountants.</w:t>
            </w:r>
          </w:p>
          <w:p w14:paraId="6499D987" w14:textId="60570A50" w:rsidR="00FE7901" w:rsidRPr="00BF53D9" w:rsidRDefault="00FE7901" w:rsidP="00B46A6D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 xml:space="preserve">Trusts that meet this threshold must </w:t>
            </w:r>
            <w:r w:rsidRPr="00AE74C3">
              <w:rPr>
                <w:rFonts w:cs="Arial"/>
                <w:b/>
                <w:bCs/>
              </w:rPr>
              <w:t>attach a copy of the audit</w:t>
            </w:r>
            <w:r w:rsidRPr="00BF53D9">
              <w:rPr>
                <w:rFonts w:cs="Arial"/>
              </w:rPr>
              <w:t xml:space="preserve"> to their abstract.</w:t>
            </w:r>
            <w:r w:rsidRPr="00BF53D9" w:rsidDel="00D95B4D">
              <w:rPr>
                <w:rFonts w:cs="Arial"/>
              </w:rPr>
              <w:t xml:space="preserve"> </w:t>
            </w:r>
          </w:p>
        </w:tc>
        <w:tc>
          <w:tcPr>
            <w:tcW w:w="709" w:type="dxa"/>
          </w:tcPr>
          <w:p w14:paraId="1B67F9C8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7D3AFEC9" w14:textId="4FBCDC9B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3476E7CA" w14:textId="77777777" w:rsidTr="6BACF571">
        <w:trPr>
          <w:cantSplit/>
        </w:trPr>
        <w:tc>
          <w:tcPr>
            <w:tcW w:w="8784" w:type="dxa"/>
          </w:tcPr>
          <w:p w14:paraId="458C9706" w14:textId="71F9EC03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lastRenderedPageBreak/>
              <w:t>General account section completed</w:t>
            </w:r>
          </w:p>
          <w:p w14:paraId="3D8A994C" w14:textId="14555467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The </w:t>
            </w:r>
            <w:r w:rsidRPr="00BF53D9">
              <w:rPr>
                <w:rFonts w:cs="Arial"/>
                <w:b/>
                <w:bCs/>
              </w:rPr>
              <w:t>income</w:t>
            </w:r>
            <w:r w:rsidRPr="00BF53D9">
              <w:rPr>
                <w:rFonts w:cs="Arial"/>
              </w:rPr>
              <w:t xml:space="preserve"> and </w:t>
            </w:r>
            <w:r w:rsidRPr="00BF53D9">
              <w:rPr>
                <w:rFonts w:cs="Arial"/>
                <w:b/>
                <w:bCs/>
              </w:rPr>
              <w:t>expenditure</w:t>
            </w:r>
            <w:r w:rsidRPr="00BF53D9">
              <w:rPr>
                <w:rFonts w:cs="Arial"/>
              </w:rPr>
              <w:t xml:space="preserve"> column totals must </w:t>
            </w:r>
            <w:r w:rsidR="00AE67E4">
              <w:rPr>
                <w:rFonts w:cs="Arial"/>
              </w:rPr>
              <w:t>equal each</w:t>
            </w:r>
            <w:r w:rsidR="00D06721">
              <w:rPr>
                <w:rFonts w:cs="Arial"/>
              </w:rPr>
              <w:t xml:space="preserve"> </w:t>
            </w:r>
            <w:r w:rsidR="00AE67E4">
              <w:rPr>
                <w:rFonts w:cs="Arial"/>
              </w:rPr>
              <w:t>other</w:t>
            </w:r>
            <w:r w:rsidRPr="00BF53D9">
              <w:rPr>
                <w:rFonts w:cs="Arial"/>
              </w:rPr>
              <w:t>. Remember to include the closing bank and investment balances in the ‘expenditure’ column.</w:t>
            </w:r>
          </w:p>
          <w:p w14:paraId="0927C377" w14:textId="450C6C29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All funds of the trust, with the exception of funds set aside for perpetual maintenance, should appear in the </w:t>
            </w:r>
            <w:r w:rsidR="00F30F0E">
              <w:rPr>
                <w:rFonts w:cs="Arial"/>
              </w:rPr>
              <w:t>‘</w:t>
            </w:r>
            <w:r w:rsidR="00906161" w:rsidRPr="00BF53D9">
              <w:rPr>
                <w:rFonts w:cs="Arial"/>
              </w:rPr>
              <w:t xml:space="preserve">General </w:t>
            </w:r>
            <w:r w:rsidRPr="00BF53D9">
              <w:rPr>
                <w:rFonts w:cs="Arial"/>
              </w:rPr>
              <w:t>account</w:t>
            </w:r>
            <w:r w:rsidR="00F30F0E">
              <w:rPr>
                <w:rFonts w:cs="Arial"/>
              </w:rPr>
              <w:t>’</w:t>
            </w:r>
            <w:r w:rsidR="00906161" w:rsidRPr="00BF53D9">
              <w:rPr>
                <w:rFonts w:cs="Arial"/>
              </w:rPr>
              <w:t xml:space="preserve"> section</w:t>
            </w:r>
            <w:r w:rsidRPr="00BF53D9">
              <w:rPr>
                <w:rFonts w:cs="Arial"/>
              </w:rPr>
              <w:t>. If the trust has multiple bank</w:t>
            </w:r>
            <w:r w:rsidR="00784649" w:rsidRPr="00BF53D9">
              <w:rPr>
                <w:rFonts w:cs="Arial"/>
              </w:rPr>
              <w:t>ing</w:t>
            </w:r>
            <w:r w:rsidRPr="00BF53D9">
              <w:rPr>
                <w:rFonts w:cs="Arial"/>
              </w:rPr>
              <w:t xml:space="preserve"> or investment accounts, add them together and write the total in the relevant fields.</w:t>
            </w:r>
          </w:p>
          <w:p w14:paraId="55827150" w14:textId="555C3DFD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If the trust holds no funds and there were no financial transactions throughout the year, enter a zero at both totals.</w:t>
            </w:r>
          </w:p>
          <w:p w14:paraId="3629FD60" w14:textId="77777777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Funds collected from the sale of pre-need rights of interment are considered available funds and should be included in the ‘General account’ section.</w:t>
            </w:r>
          </w:p>
          <w:p w14:paraId="333FEF4C" w14:textId="4183D9FF" w:rsidR="00360AF7" w:rsidRDefault="00360AF7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‘</w:t>
            </w:r>
            <w:r w:rsidRPr="00AE74C3">
              <w:rPr>
                <w:rFonts w:cs="Arial"/>
                <w:b/>
                <w:bCs/>
              </w:rPr>
              <w:t xml:space="preserve">Cash </w:t>
            </w:r>
            <w:r w:rsidR="001F3F41" w:rsidRPr="00AE74C3">
              <w:rPr>
                <w:rFonts w:cs="Arial"/>
                <w:b/>
                <w:bCs/>
              </w:rPr>
              <w:t>in hand</w:t>
            </w:r>
            <w:r w:rsidR="001F3F41" w:rsidRPr="00BF53D9">
              <w:rPr>
                <w:rFonts w:cs="Arial"/>
              </w:rPr>
              <w:t xml:space="preserve">’ refers to </w:t>
            </w:r>
            <w:r w:rsidR="003A7D73" w:rsidRPr="00BF53D9">
              <w:rPr>
                <w:rFonts w:cs="Arial"/>
              </w:rPr>
              <w:t>physical money</w:t>
            </w:r>
            <w:r w:rsidR="00F5225E" w:rsidRPr="00BF53D9">
              <w:rPr>
                <w:rFonts w:cs="Arial"/>
              </w:rPr>
              <w:t>, not funds deposited in a bank account.</w:t>
            </w:r>
          </w:p>
          <w:p w14:paraId="0EB422B1" w14:textId="6297E814" w:rsidR="0022212D" w:rsidRPr="00BF53D9" w:rsidRDefault="0022212D" w:rsidP="002125F8">
            <w:pPr>
              <w:pStyle w:val="Tablebullet1"/>
              <w:rPr>
                <w:rFonts w:cs="Arial"/>
              </w:rPr>
            </w:pPr>
            <w:r>
              <w:rPr>
                <w:rFonts w:cs="Arial"/>
              </w:rPr>
              <w:t xml:space="preserve">Transfers </w:t>
            </w:r>
            <w:r w:rsidR="00413CFC">
              <w:rPr>
                <w:rFonts w:cs="Arial"/>
              </w:rPr>
              <w:t xml:space="preserve">from general or investment accounts (recorded in the ‘General account’ section) </w:t>
            </w:r>
            <w:r>
              <w:rPr>
                <w:rFonts w:cs="Arial"/>
              </w:rPr>
              <w:t xml:space="preserve">to </w:t>
            </w:r>
            <w:r w:rsidR="00A129D9">
              <w:rPr>
                <w:rFonts w:cs="Arial"/>
              </w:rPr>
              <w:t xml:space="preserve">perpetual maintenance accounts (recorded in the ‘Perpetual maintenance account/s’ section) can be </w:t>
            </w:r>
            <w:r w:rsidR="00413CFC">
              <w:rPr>
                <w:rFonts w:cs="Arial"/>
              </w:rPr>
              <w:t>included in the expenditure column at</w:t>
            </w:r>
            <w:r w:rsidR="00A129D9">
              <w:rPr>
                <w:rFonts w:cs="Arial"/>
              </w:rPr>
              <w:t xml:space="preserve"> ‘Other expenses and miscellaneous’</w:t>
            </w:r>
            <w:r w:rsidR="00413CF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22123190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2FA3A829" w14:textId="48ACA3BC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696CFB6D" w14:textId="77777777" w:rsidTr="6BACF571">
        <w:trPr>
          <w:cantSplit/>
        </w:trPr>
        <w:tc>
          <w:tcPr>
            <w:tcW w:w="8784" w:type="dxa"/>
          </w:tcPr>
          <w:p w14:paraId="6588874A" w14:textId="1BE02781" w:rsidR="00FE7901" w:rsidRPr="00BF53D9" w:rsidRDefault="00FE7901" w:rsidP="00B27554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>Perpetual maintenance section completed</w:t>
            </w:r>
          </w:p>
          <w:p w14:paraId="41BB21C9" w14:textId="30902AFA" w:rsidR="00FE7901" w:rsidRPr="00BF53D9" w:rsidRDefault="00FE7901" w:rsidP="00B27554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The </w:t>
            </w:r>
            <w:r w:rsidRPr="00BF53D9">
              <w:rPr>
                <w:rFonts w:cs="Arial"/>
                <w:b/>
                <w:bCs/>
              </w:rPr>
              <w:t>income</w:t>
            </w:r>
            <w:r w:rsidRPr="00BF53D9">
              <w:rPr>
                <w:rFonts w:cs="Arial"/>
              </w:rPr>
              <w:t xml:space="preserve"> and </w:t>
            </w:r>
            <w:r w:rsidRPr="00BF53D9">
              <w:rPr>
                <w:rFonts w:cs="Arial"/>
                <w:b/>
                <w:bCs/>
              </w:rPr>
              <w:t>expenditure</w:t>
            </w:r>
            <w:r w:rsidRPr="00BF53D9">
              <w:rPr>
                <w:rFonts w:cs="Arial"/>
              </w:rPr>
              <w:t xml:space="preserve"> column totals must </w:t>
            </w:r>
            <w:r w:rsidR="00AE67E4">
              <w:rPr>
                <w:rFonts w:cs="Arial"/>
              </w:rPr>
              <w:t>equal each</w:t>
            </w:r>
            <w:r w:rsidR="00F30F0E">
              <w:rPr>
                <w:rFonts w:cs="Arial"/>
              </w:rPr>
              <w:t xml:space="preserve"> </w:t>
            </w:r>
            <w:r w:rsidR="00AE67E4">
              <w:rPr>
                <w:rFonts w:cs="Arial"/>
              </w:rPr>
              <w:t>other</w:t>
            </w:r>
            <w:r w:rsidRPr="00BF53D9">
              <w:rPr>
                <w:rFonts w:cs="Arial"/>
              </w:rPr>
              <w:t>.</w:t>
            </w:r>
          </w:p>
          <w:p w14:paraId="430BF82E" w14:textId="6EFB493E" w:rsidR="00FE7901" w:rsidRPr="00BF53D9" w:rsidRDefault="00FE7901" w:rsidP="00B27554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Funds from individual accounts should appear in the ‘General account’ section or the ‘Perpetual maintenance’ section, not in both. </w:t>
            </w:r>
            <w:r w:rsidRPr="00AE74C3">
              <w:rPr>
                <w:rFonts w:cs="Arial"/>
                <w:u w:val="single"/>
              </w:rPr>
              <w:t>If the funds of an account have been added to the ‘General account’ section, do not repeat the account here</w:t>
            </w:r>
            <w:r w:rsidRPr="00BF53D9">
              <w:rPr>
                <w:rFonts w:cs="Arial"/>
              </w:rPr>
              <w:t xml:space="preserve">. </w:t>
            </w:r>
          </w:p>
          <w:p w14:paraId="0B0D6ADB" w14:textId="25CD8D91" w:rsidR="00FE7901" w:rsidRPr="00BF53D9" w:rsidRDefault="00FE7901" w:rsidP="00B27554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If the trust holds no funds and there were no financial transactions related to perpetual maintenance account(s) throughout the year, enter a zero at both totals.</w:t>
            </w:r>
          </w:p>
        </w:tc>
        <w:tc>
          <w:tcPr>
            <w:tcW w:w="709" w:type="dxa"/>
          </w:tcPr>
          <w:p w14:paraId="1FBF64B7" w14:textId="77777777" w:rsidR="00FE7901" w:rsidRPr="00BF53D9" w:rsidRDefault="00FE7901" w:rsidP="00B27554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1CC91666" w14:textId="0965C190" w:rsidR="00FE7901" w:rsidRPr="00BF53D9" w:rsidRDefault="00FE7901" w:rsidP="00B27554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4D8351CF" w14:textId="77777777" w:rsidTr="6BACF571">
        <w:trPr>
          <w:cantSplit/>
        </w:trPr>
        <w:tc>
          <w:tcPr>
            <w:tcW w:w="8784" w:type="dxa"/>
          </w:tcPr>
          <w:p w14:paraId="6466D538" w14:textId="01582F72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>Assets and liabilities section completed</w:t>
            </w:r>
          </w:p>
          <w:p w14:paraId="580E9F2E" w14:textId="77777777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Individual assets do not need to be listed, only the total in each category.</w:t>
            </w:r>
          </w:p>
          <w:p w14:paraId="23C8D1A2" w14:textId="77777777" w:rsidR="00FE7901" w:rsidRPr="00BF53D9" w:rsidRDefault="00AC77F3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Funds collected</w:t>
            </w:r>
            <w:r w:rsidR="00FE7901" w:rsidRPr="00BF53D9">
              <w:rPr>
                <w:rFonts w:cs="Arial"/>
              </w:rPr>
              <w:t xml:space="preserve"> from the sale of pre-need rights of interment </w:t>
            </w:r>
            <w:r w:rsidRPr="00BF53D9">
              <w:rPr>
                <w:rFonts w:cs="Arial"/>
              </w:rPr>
              <w:t xml:space="preserve">are </w:t>
            </w:r>
            <w:r w:rsidR="00D979DC" w:rsidRPr="00BF53D9">
              <w:rPr>
                <w:rFonts w:cs="Arial"/>
              </w:rPr>
              <w:t xml:space="preserve">not </w:t>
            </w:r>
            <w:r w:rsidRPr="00BF53D9">
              <w:rPr>
                <w:rFonts w:cs="Arial"/>
              </w:rPr>
              <w:t xml:space="preserve">considered liabilities </w:t>
            </w:r>
            <w:r w:rsidR="00D979DC" w:rsidRPr="00BF53D9">
              <w:rPr>
                <w:rFonts w:cs="Arial"/>
              </w:rPr>
              <w:t xml:space="preserve">for the purposes of the </w:t>
            </w:r>
            <w:r w:rsidR="00A34643" w:rsidRPr="00BF53D9">
              <w:rPr>
                <w:rFonts w:cs="Arial"/>
              </w:rPr>
              <w:t xml:space="preserve">abstract </w:t>
            </w:r>
            <w:r w:rsidRPr="00BF53D9">
              <w:rPr>
                <w:rFonts w:cs="Arial"/>
              </w:rPr>
              <w:t>and should be included in the</w:t>
            </w:r>
            <w:r w:rsidR="00FE7901" w:rsidRPr="00BF53D9">
              <w:rPr>
                <w:rFonts w:cs="Arial"/>
              </w:rPr>
              <w:t xml:space="preserve"> ‘General account’ section.</w:t>
            </w:r>
          </w:p>
          <w:p w14:paraId="53F3300E" w14:textId="18DD20C3" w:rsidR="00E17B4F" w:rsidRPr="00BF53D9" w:rsidRDefault="00E17B4F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Financial assets such as term deposits should </w:t>
            </w:r>
            <w:r w:rsidR="002408BA" w:rsidRPr="00BF53D9">
              <w:rPr>
                <w:rFonts w:cs="Arial"/>
              </w:rPr>
              <w:t>be entered</w:t>
            </w:r>
            <w:r w:rsidRPr="00BF53D9">
              <w:rPr>
                <w:rFonts w:cs="Arial"/>
              </w:rPr>
              <w:t xml:space="preserve"> in the ‘General account’ or ‘Perpetual maintenance account/s’ sections</w:t>
            </w:r>
            <w:r w:rsidR="002408BA" w:rsidRPr="00BF53D9">
              <w:rPr>
                <w:rFonts w:cs="Arial"/>
              </w:rPr>
              <w:t>.</w:t>
            </w:r>
          </w:p>
          <w:p w14:paraId="18B3D8CF" w14:textId="72381759" w:rsidR="002408BA" w:rsidRPr="00BF53D9" w:rsidRDefault="002408BA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Do not enter inventory as an asset.</w:t>
            </w:r>
          </w:p>
        </w:tc>
        <w:tc>
          <w:tcPr>
            <w:tcW w:w="709" w:type="dxa"/>
          </w:tcPr>
          <w:p w14:paraId="3A118DA9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4691414F" w14:textId="131C2704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43C8C7A9" w14:textId="77777777" w:rsidTr="6BACF571">
        <w:trPr>
          <w:cantSplit/>
        </w:trPr>
        <w:tc>
          <w:tcPr>
            <w:tcW w:w="8784" w:type="dxa"/>
          </w:tcPr>
          <w:p w14:paraId="40BDD784" w14:textId="7E36F541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>Right of interment and interment information section completed</w:t>
            </w:r>
          </w:p>
          <w:p w14:paraId="4E01C3D6" w14:textId="77777777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Complete a separate table for each cemetery managed by the trust.</w:t>
            </w:r>
          </w:p>
          <w:p w14:paraId="34C2BD43" w14:textId="3E2036FA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‘At-need’ refers to rights of interment purchased when remains are ready to be interred. ‘Pre-need’ refers to rights of interment purchased for future use.</w:t>
            </w:r>
          </w:p>
          <w:p w14:paraId="3434B959" w14:textId="45F8F11F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If the trust does not have an exact figure </w:t>
            </w:r>
            <w:r w:rsidR="00BA248A">
              <w:rPr>
                <w:rFonts w:cs="Arial"/>
              </w:rPr>
              <w:t xml:space="preserve">or year </w:t>
            </w:r>
            <w:r w:rsidRPr="00BF53D9">
              <w:rPr>
                <w:rFonts w:cs="Arial"/>
              </w:rPr>
              <w:t xml:space="preserve">for the remaining capacity of the cemetery, provide the trust’s best estimate. </w:t>
            </w:r>
            <w:r w:rsidR="00BA248A" w:rsidRPr="00BF53D9">
              <w:rPr>
                <w:rFonts w:cs="Arial"/>
              </w:rPr>
              <w:t>Th</w:t>
            </w:r>
            <w:r w:rsidR="00BA248A">
              <w:rPr>
                <w:rFonts w:cs="Arial"/>
              </w:rPr>
              <w:t>ese</w:t>
            </w:r>
            <w:r w:rsidR="00BA248A" w:rsidRPr="00BF53D9">
              <w:rPr>
                <w:rFonts w:cs="Arial"/>
              </w:rPr>
              <w:t xml:space="preserve"> </w:t>
            </w:r>
            <w:r w:rsidRPr="00BF53D9">
              <w:rPr>
                <w:rFonts w:cs="Arial"/>
              </w:rPr>
              <w:t>figure</w:t>
            </w:r>
            <w:r w:rsidR="00BA248A">
              <w:rPr>
                <w:rFonts w:cs="Arial"/>
              </w:rPr>
              <w:t>s</w:t>
            </w:r>
            <w:r w:rsidRPr="00BF53D9">
              <w:rPr>
                <w:rFonts w:cs="Arial"/>
              </w:rPr>
              <w:t xml:space="preserve"> assist the department in forecasting remaining burial capacity in Victoria.</w:t>
            </w:r>
          </w:p>
        </w:tc>
        <w:tc>
          <w:tcPr>
            <w:tcW w:w="709" w:type="dxa"/>
          </w:tcPr>
          <w:p w14:paraId="236181BD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65B74B18" w14:textId="54A39A41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0ECAA13B" w14:textId="77777777" w:rsidTr="6BACF571">
        <w:trPr>
          <w:cantSplit/>
        </w:trPr>
        <w:tc>
          <w:tcPr>
            <w:tcW w:w="8784" w:type="dxa"/>
          </w:tcPr>
          <w:p w14:paraId="0D0AF6A1" w14:textId="0826E586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>Statutory declaration</w:t>
            </w:r>
            <w:r w:rsidR="00C72E18">
              <w:rPr>
                <w:rFonts w:cs="Arial"/>
              </w:rPr>
              <w:t>s</w:t>
            </w:r>
            <w:r w:rsidRPr="00BF53D9">
              <w:rPr>
                <w:rFonts w:cs="Arial"/>
              </w:rPr>
              <w:t xml:space="preserve"> signed by the trust </w:t>
            </w:r>
            <w:r w:rsidRPr="00BF53D9">
              <w:rPr>
                <w:rFonts w:cs="Arial"/>
                <w:b/>
                <w:bCs/>
              </w:rPr>
              <w:t>chairperson</w:t>
            </w:r>
            <w:r w:rsidRPr="00BF53D9">
              <w:rPr>
                <w:rFonts w:cs="Arial"/>
              </w:rPr>
              <w:t xml:space="preserve"> and </w:t>
            </w:r>
            <w:r w:rsidR="001671FD" w:rsidRPr="00BF53D9">
              <w:rPr>
                <w:rFonts w:cs="Arial"/>
              </w:rPr>
              <w:t>two other</w:t>
            </w:r>
            <w:r w:rsidRPr="00BF53D9">
              <w:rPr>
                <w:rFonts w:cs="Arial"/>
              </w:rPr>
              <w:t xml:space="preserve"> </w:t>
            </w:r>
            <w:r w:rsidRPr="00BF53D9">
              <w:rPr>
                <w:rFonts w:cs="Arial"/>
                <w:b/>
                <w:bCs/>
              </w:rPr>
              <w:t>trust member</w:t>
            </w:r>
            <w:r w:rsidR="6A067840" w:rsidRPr="00BF53D9">
              <w:rPr>
                <w:rFonts w:cs="Arial"/>
                <w:b/>
                <w:bCs/>
              </w:rPr>
              <w:t>s</w:t>
            </w:r>
          </w:p>
          <w:p w14:paraId="37015564" w14:textId="77777777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If your trust is managed by a municipal council, the statutory declaration is to be signed by </w:t>
            </w:r>
            <w:r w:rsidR="53FA3412" w:rsidRPr="00BF53D9">
              <w:rPr>
                <w:rFonts w:cs="Arial"/>
              </w:rPr>
              <w:t xml:space="preserve">three </w:t>
            </w:r>
            <w:r w:rsidRPr="00BF53D9">
              <w:rPr>
                <w:rFonts w:cs="Arial"/>
              </w:rPr>
              <w:t>councillors or delegated staff members.</w:t>
            </w:r>
          </w:p>
          <w:p w14:paraId="495294BE" w14:textId="098CABE4" w:rsidR="00F676F4" w:rsidRPr="00BF53D9" w:rsidRDefault="00F676F4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The statutory declarations can be completed on separate days</w:t>
            </w:r>
            <w:r w:rsidR="007209F5" w:rsidRPr="00BF53D9">
              <w:rPr>
                <w:rFonts w:cs="Arial"/>
              </w:rPr>
              <w:t xml:space="preserve"> with different witnesses.</w:t>
            </w:r>
          </w:p>
        </w:tc>
        <w:tc>
          <w:tcPr>
            <w:tcW w:w="709" w:type="dxa"/>
          </w:tcPr>
          <w:p w14:paraId="3805C90C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00210BB4" w14:textId="3FC3078F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5DCBD965" w14:textId="77777777" w:rsidTr="6BACF571">
        <w:trPr>
          <w:cantSplit/>
        </w:trPr>
        <w:tc>
          <w:tcPr>
            <w:tcW w:w="8784" w:type="dxa"/>
          </w:tcPr>
          <w:p w14:paraId="4E236225" w14:textId="4703EB04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lastRenderedPageBreak/>
              <w:t>Statutory declaration</w:t>
            </w:r>
            <w:r w:rsidR="00C72E18">
              <w:rPr>
                <w:rFonts w:cs="Arial"/>
              </w:rPr>
              <w:t>s</w:t>
            </w:r>
            <w:r w:rsidRPr="00BF53D9">
              <w:rPr>
                <w:rFonts w:cs="Arial"/>
              </w:rPr>
              <w:t xml:space="preserve"> witnessed by an </w:t>
            </w:r>
            <w:r w:rsidRPr="00BF53D9">
              <w:rPr>
                <w:rFonts w:cs="Arial"/>
                <w:b/>
                <w:bCs/>
              </w:rPr>
              <w:t>authorised witness</w:t>
            </w:r>
            <w:r w:rsidRPr="00BF53D9">
              <w:rPr>
                <w:rFonts w:cs="Arial"/>
              </w:rPr>
              <w:t>.</w:t>
            </w:r>
          </w:p>
          <w:p w14:paraId="3E78F697" w14:textId="25AD6021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A list of authorised statutory declaration witnesses can be found on the </w:t>
            </w:r>
            <w:hyperlink r:id="rId16" w:history="1">
              <w:r w:rsidRPr="00BF53D9">
                <w:rPr>
                  <w:rStyle w:val="Hyperlink"/>
                  <w:rFonts w:cs="Arial"/>
                  <w:u w:val="none"/>
                </w:rPr>
                <w:t>Department of Justice and Community Safety website</w:t>
              </w:r>
            </w:hyperlink>
            <w:r w:rsidRPr="00BF53D9">
              <w:rPr>
                <w:rFonts w:cs="Arial"/>
              </w:rPr>
              <w:t xml:space="preserve"> &lt;https://www.justice.vic.gov.au/statdecs&gt;. Examples include a Justice of the Peace, </w:t>
            </w:r>
            <w:r w:rsidR="00356DC6" w:rsidRPr="00BF53D9">
              <w:rPr>
                <w:rFonts w:cs="Arial"/>
              </w:rPr>
              <w:t xml:space="preserve">police officer, court registrar, bank manager, </w:t>
            </w:r>
            <w:r w:rsidR="001671FD" w:rsidRPr="00BF53D9">
              <w:rPr>
                <w:rFonts w:cs="Arial"/>
              </w:rPr>
              <w:t xml:space="preserve">pharmacist </w:t>
            </w:r>
            <w:r w:rsidR="00075A1B" w:rsidRPr="00BF53D9">
              <w:rPr>
                <w:rFonts w:cs="Arial"/>
              </w:rPr>
              <w:t xml:space="preserve">or </w:t>
            </w:r>
            <w:r w:rsidR="00356DC6" w:rsidRPr="00BF53D9">
              <w:rPr>
                <w:rFonts w:cs="Arial"/>
              </w:rPr>
              <w:t>medical practitioner</w:t>
            </w:r>
            <w:r w:rsidRPr="00BF53D9">
              <w:rPr>
                <w:rFonts w:cs="Arial"/>
              </w:rPr>
              <w:t>.</w:t>
            </w:r>
          </w:p>
          <w:p w14:paraId="4198CDD5" w14:textId="6A46D2E7" w:rsidR="00FE7901" w:rsidRPr="00BF53D9" w:rsidRDefault="00C22D83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The</w:t>
            </w:r>
            <w:r w:rsidR="00FE7901" w:rsidRPr="00BF53D9">
              <w:rPr>
                <w:rFonts w:cs="Arial"/>
              </w:rPr>
              <w:t xml:space="preserve"> witness</w:t>
            </w:r>
            <w:r w:rsidRPr="00BF53D9">
              <w:rPr>
                <w:rFonts w:cs="Arial"/>
              </w:rPr>
              <w:t xml:space="preserve"> must</w:t>
            </w:r>
            <w:r w:rsidR="00FE7901" w:rsidRPr="00BF53D9">
              <w:rPr>
                <w:rFonts w:cs="Arial"/>
              </w:rPr>
              <w:t xml:space="preserve"> be independent from the trust and not a trust member or the trust secretary, or a family member of </w:t>
            </w:r>
            <w:r w:rsidR="00AC77F3" w:rsidRPr="00BF53D9">
              <w:rPr>
                <w:rFonts w:cs="Arial"/>
              </w:rPr>
              <w:t xml:space="preserve">a </w:t>
            </w:r>
            <w:r w:rsidR="00FE7901" w:rsidRPr="00BF53D9">
              <w:rPr>
                <w:rFonts w:cs="Arial"/>
              </w:rPr>
              <w:t>trust member or secretary.</w:t>
            </w:r>
          </w:p>
          <w:p w14:paraId="3D3688D3" w14:textId="1518F28A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 xml:space="preserve">Statutory declarations can be made in person or online. If trust members cannot </w:t>
            </w:r>
            <w:r w:rsidR="00223B0D">
              <w:rPr>
                <w:rFonts w:cs="Arial"/>
              </w:rPr>
              <w:t>go</w:t>
            </w:r>
            <w:r w:rsidR="00223B0D" w:rsidRPr="00BF53D9">
              <w:rPr>
                <w:rFonts w:cs="Arial"/>
              </w:rPr>
              <w:t xml:space="preserve"> </w:t>
            </w:r>
            <w:r w:rsidRPr="00BF53D9">
              <w:rPr>
                <w:rFonts w:cs="Arial"/>
              </w:rPr>
              <w:t xml:space="preserve">in person </w:t>
            </w:r>
            <w:r w:rsidR="00F76B37">
              <w:rPr>
                <w:rFonts w:cs="Arial"/>
              </w:rPr>
              <w:t>to</w:t>
            </w:r>
            <w:r w:rsidR="00F76B37" w:rsidRPr="00BF53D9">
              <w:rPr>
                <w:rFonts w:cs="Arial"/>
              </w:rPr>
              <w:t xml:space="preserve"> </w:t>
            </w:r>
            <w:r w:rsidRPr="00BF53D9">
              <w:rPr>
                <w:rFonts w:cs="Arial"/>
              </w:rPr>
              <w:t xml:space="preserve">an authorised witness, statutory declarations </w:t>
            </w:r>
            <w:r w:rsidR="00F76B37">
              <w:rPr>
                <w:rFonts w:cs="Arial"/>
              </w:rPr>
              <w:t>can</w:t>
            </w:r>
            <w:r w:rsidR="00F76B37" w:rsidRPr="00BF53D9">
              <w:rPr>
                <w:rFonts w:cs="Arial"/>
              </w:rPr>
              <w:t xml:space="preserve"> </w:t>
            </w:r>
            <w:r w:rsidRPr="00BF53D9">
              <w:rPr>
                <w:rFonts w:cs="Arial"/>
              </w:rPr>
              <w:t xml:space="preserve">be made using electronic signatures </w:t>
            </w:r>
            <w:r w:rsidR="00830D29">
              <w:rPr>
                <w:rFonts w:cs="Arial"/>
              </w:rPr>
              <w:t>with</w:t>
            </w:r>
            <w:r w:rsidRPr="00BF53D9">
              <w:rPr>
                <w:rFonts w:cs="Arial"/>
              </w:rPr>
              <w:t xml:space="preserve"> the witness ‘present’ by audio visual link. For instructions on making a statutory declaration online, visit the </w:t>
            </w:r>
            <w:hyperlink r:id="rId17" w:history="1">
              <w:r w:rsidRPr="00BF53D9">
                <w:rPr>
                  <w:rStyle w:val="Hyperlink"/>
                  <w:rFonts w:cs="Arial"/>
                  <w:u w:val="none"/>
                </w:rPr>
                <w:t>Department of Justice and Community Safety website</w:t>
              </w:r>
            </w:hyperlink>
            <w:r w:rsidRPr="00BF53D9">
              <w:rPr>
                <w:rFonts w:cs="Arial"/>
              </w:rPr>
              <w:t xml:space="preserve"> &lt;</w:t>
            </w:r>
            <w:r w:rsidR="00AC77F3" w:rsidRPr="00BF53D9">
              <w:rPr>
                <w:rFonts w:cs="Arial"/>
              </w:rPr>
              <w:t>https://www.justice.vic.gov.au/statdecs</w:t>
            </w:r>
            <w:r w:rsidRPr="00BF53D9">
              <w:rPr>
                <w:rFonts w:cs="Arial"/>
              </w:rPr>
              <w:t>&gt;.</w:t>
            </w:r>
          </w:p>
        </w:tc>
        <w:tc>
          <w:tcPr>
            <w:tcW w:w="709" w:type="dxa"/>
          </w:tcPr>
          <w:p w14:paraId="4E55D586" w14:textId="77777777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  <w:tc>
          <w:tcPr>
            <w:tcW w:w="708" w:type="dxa"/>
          </w:tcPr>
          <w:p w14:paraId="702BDD0B" w14:textId="24222E45" w:rsidR="00FE7901" w:rsidRPr="00BF53D9" w:rsidRDefault="00FE7901" w:rsidP="002125F8">
            <w:pPr>
              <w:pStyle w:val="Tabletext"/>
              <w:rPr>
                <w:rFonts w:cs="Arial"/>
              </w:rPr>
            </w:pPr>
          </w:p>
        </w:tc>
      </w:tr>
      <w:tr w:rsidR="00FE7901" w:rsidRPr="00BF53D9" w14:paraId="1A51C9FF" w14:textId="77777777" w:rsidTr="6BACF571">
        <w:trPr>
          <w:cantSplit/>
        </w:trPr>
        <w:tc>
          <w:tcPr>
            <w:tcW w:w="8784" w:type="dxa"/>
          </w:tcPr>
          <w:p w14:paraId="720C6A06" w14:textId="18A14CC5" w:rsidR="00CD14F6" w:rsidRDefault="007522C7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 xml:space="preserve">The trust has made a </w:t>
            </w:r>
            <w:r w:rsidR="00FE7901" w:rsidRPr="00BF53D9">
              <w:rPr>
                <w:rFonts w:cs="Arial"/>
              </w:rPr>
              <w:t xml:space="preserve">copy of the completed, signed abstract and associated documents </w:t>
            </w:r>
            <w:r w:rsidRPr="00BF53D9">
              <w:rPr>
                <w:rFonts w:cs="Arial"/>
              </w:rPr>
              <w:t>for its</w:t>
            </w:r>
            <w:r w:rsidR="00FE7901" w:rsidRPr="00BF53D9">
              <w:rPr>
                <w:rFonts w:cs="Arial"/>
              </w:rPr>
              <w:t xml:space="preserve"> </w:t>
            </w:r>
            <w:r w:rsidR="00CE435F" w:rsidRPr="00BF53D9">
              <w:rPr>
                <w:rFonts w:cs="Arial"/>
              </w:rPr>
              <w:t xml:space="preserve">own </w:t>
            </w:r>
            <w:r w:rsidR="00FE7901" w:rsidRPr="00BF53D9">
              <w:rPr>
                <w:rFonts w:cs="Arial"/>
              </w:rPr>
              <w:t>records.</w:t>
            </w:r>
          </w:p>
          <w:p w14:paraId="43DC08B5" w14:textId="24C6881E" w:rsidR="002C65DD" w:rsidRPr="00BF53D9" w:rsidRDefault="002C65DD" w:rsidP="002125F8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This is particularly important if the trust intends to submit the abstract by post rather than email, as</w:t>
            </w:r>
            <w:r w:rsidR="002F3853">
              <w:rPr>
                <w:rFonts w:cs="Arial"/>
              </w:rPr>
              <w:t xml:space="preserve"> </w:t>
            </w:r>
            <w:r w:rsidR="00AE67E4">
              <w:rPr>
                <w:rFonts w:cs="Arial"/>
              </w:rPr>
              <w:t xml:space="preserve">completed </w:t>
            </w:r>
            <w:r w:rsidR="002F3853">
              <w:rPr>
                <w:rFonts w:cs="Arial"/>
              </w:rPr>
              <w:t xml:space="preserve">abstracts need to be resent </w:t>
            </w:r>
            <w:r w:rsidR="00F30F0E">
              <w:rPr>
                <w:rFonts w:cs="Arial"/>
              </w:rPr>
              <w:t xml:space="preserve">by the trust </w:t>
            </w:r>
            <w:r w:rsidR="002F3853">
              <w:rPr>
                <w:rFonts w:cs="Arial"/>
              </w:rPr>
              <w:t>if they go missing in the post.</w:t>
            </w:r>
          </w:p>
        </w:tc>
        <w:tc>
          <w:tcPr>
            <w:tcW w:w="709" w:type="dxa"/>
          </w:tcPr>
          <w:p w14:paraId="24CAD82D" w14:textId="77777777" w:rsidR="00FE7901" w:rsidRPr="00BF53D9" w:rsidRDefault="00FE7901" w:rsidP="002125F8">
            <w:pPr>
              <w:rPr>
                <w:rFonts w:cs="Arial"/>
              </w:rPr>
            </w:pPr>
          </w:p>
        </w:tc>
        <w:tc>
          <w:tcPr>
            <w:tcW w:w="708" w:type="dxa"/>
          </w:tcPr>
          <w:p w14:paraId="6B46E87C" w14:textId="636E9805" w:rsidR="00FE7901" w:rsidRPr="00BF53D9" w:rsidRDefault="00FE7901" w:rsidP="002125F8">
            <w:pPr>
              <w:rPr>
                <w:rFonts w:cs="Arial"/>
              </w:rPr>
            </w:pPr>
          </w:p>
        </w:tc>
      </w:tr>
      <w:tr w:rsidR="00FE7901" w:rsidRPr="00BF53D9" w14:paraId="2E51E23F" w14:textId="77777777" w:rsidTr="6BACF571">
        <w:trPr>
          <w:cantSplit/>
        </w:trPr>
        <w:tc>
          <w:tcPr>
            <w:tcW w:w="8784" w:type="dxa"/>
          </w:tcPr>
          <w:p w14:paraId="1BF119AE" w14:textId="69A2ECA1" w:rsidR="00FE7901" w:rsidRPr="00BF53D9" w:rsidRDefault="00FE7901" w:rsidP="002125F8">
            <w:pPr>
              <w:pStyle w:val="Tabletext"/>
              <w:rPr>
                <w:rFonts w:cs="Arial"/>
              </w:rPr>
            </w:pPr>
            <w:r w:rsidRPr="00BF53D9">
              <w:rPr>
                <w:rFonts w:cs="Arial"/>
              </w:rPr>
              <w:t>The trust has previously submitted the preceding year’s abstract</w:t>
            </w:r>
          </w:p>
          <w:p w14:paraId="77175A13" w14:textId="5625C34E" w:rsidR="00FE7901" w:rsidRPr="00BF53D9" w:rsidRDefault="00FE7901" w:rsidP="002125F8">
            <w:pPr>
              <w:pStyle w:val="Tablebullet1"/>
              <w:rPr>
                <w:rFonts w:cs="Arial"/>
              </w:rPr>
            </w:pPr>
            <w:r w:rsidRPr="00BF53D9">
              <w:rPr>
                <w:rFonts w:cs="Arial"/>
              </w:rPr>
              <w:t>If the trust has not submitted the preceding year’s abstract, submit the missing abstract in addition to the current year’s abstract. Trusts can contact the department for a blank copy of previous abstracts.</w:t>
            </w:r>
          </w:p>
        </w:tc>
        <w:tc>
          <w:tcPr>
            <w:tcW w:w="709" w:type="dxa"/>
          </w:tcPr>
          <w:p w14:paraId="62F31A42" w14:textId="77777777" w:rsidR="00FE7901" w:rsidRPr="00BF53D9" w:rsidRDefault="00FE7901" w:rsidP="002125F8">
            <w:pPr>
              <w:rPr>
                <w:rFonts w:cs="Arial"/>
              </w:rPr>
            </w:pPr>
          </w:p>
        </w:tc>
        <w:tc>
          <w:tcPr>
            <w:tcW w:w="708" w:type="dxa"/>
          </w:tcPr>
          <w:p w14:paraId="55E787CF" w14:textId="5A1140E3" w:rsidR="00FE7901" w:rsidRPr="00BF53D9" w:rsidRDefault="00FE7901" w:rsidP="002125F8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79"/>
        <w:tblW w:w="10194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F2504" w:rsidRPr="00BF53D9" w14:paraId="41ED54EA" w14:textId="77777777" w:rsidTr="005F2504">
        <w:tc>
          <w:tcPr>
            <w:tcW w:w="10194" w:type="dxa"/>
          </w:tcPr>
          <w:p w14:paraId="5A8FFFD2" w14:textId="6D577DA0" w:rsidR="005F2504" w:rsidRPr="00BF53D9" w:rsidRDefault="005F2504" w:rsidP="005F2504">
            <w:pPr>
              <w:pStyle w:val="Accessibilitypara"/>
              <w:spacing w:before="120"/>
              <w:rPr>
                <w:rFonts w:cs="Arial"/>
              </w:rPr>
            </w:pPr>
            <w:bookmarkStart w:id="1" w:name="_Hlk67576655"/>
            <w:r w:rsidRPr="00BF53D9">
              <w:rPr>
                <w:rFonts w:cs="Arial"/>
              </w:rPr>
              <w:t xml:space="preserve">To receive this document in another format, phone 1800 034 280, using the National Relay Service 13 36 77 if required, or </w:t>
            </w:r>
            <w:hyperlink r:id="rId18" w:history="1">
              <w:r w:rsidR="00265FB4" w:rsidRPr="00265FB4">
                <w:rPr>
                  <w:rStyle w:val="Hyperlink"/>
                  <w:rFonts w:cs="Arial"/>
                  <w:u w:val="none"/>
                </w:rPr>
                <w:t>email the department</w:t>
              </w:r>
            </w:hyperlink>
            <w:r w:rsidRPr="00BF53D9">
              <w:rPr>
                <w:rFonts w:cs="Arial"/>
                <w:color w:val="004C97"/>
              </w:rPr>
              <w:t xml:space="preserve"> </w:t>
            </w:r>
            <w:r w:rsidRPr="00BF53D9">
              <w:rPr>
                <w:rFonts w:cs="Arial"/>
              </w:rPr>
              <w:t>&lt;cemeteries@health.vic.gov.au&gt;.</w:t>
            </w:r>
          </w:p>
          <w:p w14:paraId="61560469" w14:textId="77777777" w:rsidR="005F2504" w:rsidRPr="00BF53D9" w:rsidRDefault="005F2504" w:rsidP="005F2504">
            <w:pPr>
              <w:pStyle w:val="Imprint"/>
              <w:rPr>
                <w:rFonts w:cs="Arial"/>
              </w:rPr>
            </w:pPr>
            <w:r w:rsidRPr="00BF53D9">
              <w:rPr>
                <w:rFonts w:cs="Arial"/>
              </w:rPr>
              <w:t>Authorised and published by the Victorian Government, 1 Treasury Place, Melbourne.</w:t>
            </w:r>
          </w:p>
          <w:p w14:paraId="3BF42A47" w14:textId="0C262990" w:rsidR="005F2504" w:rsidRPr="00BF53D9" w:rsidRDefault="005F2504" w:rsidP="005F2504">
            <w:pPr>
              <w:pStyle w:val="Imprint"/>
              <w:rPr>
                <w:rFonts w:cs="Arial"/>
              </w:rPr>
            </w:pPr>
            <w:r w:rsidRPr="00BF53D9">
              <w:rPr>
                <w:rFonts w:cs="Arial"/>
              </w:rPr>
              <w:t xml:space="preserve">© State of Victoria, Australia, Department of Health, </w:t>
            </w:r>
            <w:r w:rsidR="00AE74C3">
              <w:rPr>
                <w:rFonts w:cs="Arial"/>
                <w:color w:val="auto"/>
              </w:rPr>
              <w:t>April</w:t>
            </w:r>
            <w:r w:rsidR="00AE74C3" w:rsidRPr="00BF53D9">
              <w:rPr>
                <w:rFonts w:cs="Arial"/>
                <w:color w:val="auto"/>
              </w:rPr>
              <w:t xml:space="preserve"> </w:t>
            </w:r>
            <w:r w:rsidR="00AE67E4" w:rsidRPr="00BF53D9">
              <w:rPr>
                <w:rFonts w:cs="Arial"/>
                <w:color w:val="auto"/>
              </w:rPr>
              <w:t>202</w:t>
            </w:r>
            <w:r w:rsidR="00AE67E4">
              <w:rPr>
                <w:rFonts w:cs="Arial"/>
                <w:color w:val="auto"/>
              </w:rPr>
              <w:t>4</w:t>
            </w:r>
            <w:r w:rsidRPr="00BF53D9">
              <w:rPr>
                <w:rFonts w:cs="Arial"/>
              </w:rPr>
              <w:t>.</w:t>
            </w:r>
          </w:p>
          <w:p w14:paraId="2106C27B" w14:textId="77777777" w:rsidR="005F2504" w:rsidRPr="00BF53D9" w:rsidRDefault="005F2504" w:rsidP="005F2504">
            <w:pPr>
              <w:pStyle w:val="Imprint"/>
              <w:rPr>
                <w:rFonts w:cs="Arial"/>
              </w:rPr>
            </w:pPr>
            <w:r w:rsidRPr="00BF53D9">
              <w:rPr>
                <w:rFonts w:cs="Arial"/>
              </w:rPr>
              <w:t>ISBN 978-1-76096-086-5 (Print) 978-1-76096-087-2 (pdf/online/MS word)</w:t>
            </w:r>
          </w:p>
          <w:p w14:paraId="1B5FB69D" w14:textId="7E75FDDD" w:rsidR="005F2504" w:rsidRPr="00BF53D9" w:rsidRDefault="00660943" w:rsidP="005F2504">
            <w:pPr>
              <w:pStyle w:val="Imprint"/>
              <w:rPr>
                <w:rFonts w:cs="Arial"/>
                <w:color w:val="auto"/>
              </w:rPr>
            </w:pPr>
            <w:r w:rsidRPr="00BF53D9">
              <w:rPr>
                <w:rFonts w:cs="Arial"/>
              </w:rPr>
              <w:t xml:space="preserve">Available at </w:t>
            </w:r>
            <w:hyperlink r:id="rId19" w:history="1">
              <w:r w:rsidRPr="00BF53D9">
                <w:rPr>
                  <w:rStyle w:val="Hyperlink"/>
                  <w:rFonts w:cs="Arial"/>
                  <w:u w:val="none"/>
                </w:rPr>
                <w:t>Class B cemetery trust financial reporting and financial procedures</w:t>
              </w:r>
            </w:hyperlink>
            <w:r w:rsidRPr="00BF53D9">
              <w:rPr>
                <w:rFonts w:cs="Arial"/>
              </w:rPr>
              <w:t xml:space="preserve"> &lt;https://www.health.vic.gov.au/cemeteries-and-crematoria/class-b-cemetery-trust-financial-reporting-and-procedures</w:t>
            </w:r>
            <w:r w:rsidRPr="00BF53D9">
              <w:rPr>
                <w:rFonts w:cs="Arial"/>
                <w:color w:val="auto"/>
              </w:rPr>
              <w:t>&gt;</w:t>
            </w:r>
          </w:p>
        </w:tc>
      </w:tr>
      <w:bookmarkEnd w:id="0"/>
      <w:bookmarkEnd w:id="1"/>
    </w:tbl>
    <w:p w14:paraId="0D0535C0" w14:textId="33AA5223" w:rsidR="00660943" w:rsidRPr="00BF53D9" w:rsidRDefault="00660943" w:rsidP="00660943">
      <w:pPr>
        <w:pStyle w:val="Body"/>
        <w:spacing w:after="0" w:line="240" w:lineRule="auto"/>
        <w:rPr>
          <w:rFonts w:cs="Arial"/>
          <w:sz w:val="10"/>
          <w:szCs w:val="8"/>
        </w:rPr>
      </w:pPr>
    </w:p>
    <w:sectPr w:rsidR="00660943" w:rsidRPr="00BF53D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1578" w14:textId="77777777" w:rsidR="00304DCB" w:rsidRDefault="00304DCB">
      <w:r>
        <w:separator/>
      </w:r>
    </w:p>
  </w:endnote>
  <w:endnote w:type="continuationSeparator" w:id="0">
    <w:p w14:paraId="35DC607B" w14:textId="77777777" w:rsidR="00304DCB" w:rsidRDefault="0030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064E" w14:textId="0223292B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07C1677" wp14:editId="2376B1D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D5D6" w14:textId="3FBF6EF0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59C9" w14:textId="77777777" w:rsidR="00304DCB" w:rsidRDefault="00304DCB" w:rsidP="002862F1">
      <w:pPr>
        <w:spacing w:before="120"/>
      </w:pPr>
      <w:r>
        <w:separator/>
      </w:r>
    </w:p>
  </w:footnote>
  <w:footnote w:type="continuationSeparator" w:id="0">
    <w:p w14:paraId="4FE672B4" w14:textId="77777777" w:rsidR="00304DCB" w:rsidRDefault="0030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F5D4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F380" w14:textId="0FAC3E4E" w:rsidR="00E261B3" w:rsidRPr="0051568D" w:rsidRDefault="002125F8" w:rsidP="0011701A">
    <w:pPr>
      <w:pStyle w:val="Header"/>
    </w:pPr>
    <w:r>
      <w:rPr>
        <w:bCs/>
      </w:rPr>
      <w:t>A</w:t>
    </w:r>
    <w:r w:rsidRPr="00673DA4">
      <w:rPr>
        <w:bCs/>
      </w:rPr>
      <w:t>bstract of accounts</w:t>
    </w:r>
    <w:r>
      <w:rPr>
        <w:bCs/>
      </w:rPr>
      <w:t xml:space="preserve"> checklist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7538CD"/>
    <w:multiLevelType w:val="hybridMultilevel"/>
    <w:tmpl w:val="1D9C3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F82ECD"/>
    <w:multiLevelType w:val="hybridMultilevel"/>
    <w:tmpl w:val="46963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597579">
    <w:abstractNumId w:val="10"/>
  </w:num>
  <w:num w:numId="2" w16cid:durableId="91168752">
    <w:abstractNumId w:val="18"/>
  </w:num>
  <w:num w:numId="3" w16cid:durableId="1549605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039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575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5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573130">
    <w:abstractNumId w:val="23"/>
  </w:num>
  <w:num w:numId="8" w16cid:durableId="849369901">
    <w:abstractNumId w:val="17"/>
  </w:num>
  <w:num w:numId="9" w16cid:durableId="415447276">
    <w:abstractNumId w:val="22"/>
  </w:num>
  <w:num w:numId="10" w16cid:durableId="3868051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141326">
    <w:abstractNumId w:val="24"/>
  </w:num>
  <w:num w:numId="12" w16cid:durableId="18088620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791881">
    <w:abstractNumId w:val="19"/>
  </w:num>
  <w:num w:numId="14" w16cid:durableId="14254926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6678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252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095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899810">
    <w:abstractNumId w:val="26"/>
  </w:num>
  <w:num w:numId="19" w16cid:durableId="10200087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3894317">
    <w:abstractNumId w:val="14"/>
  </w:num>
  <w:num w:numId="21" w16cid:durableId="1801071155">
    <w:abstractNumId w:val="12"/>
  </w:num>
  <w:num w:numId="22" w16cid:durableId="1157263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3545475">
    <w:abstractNumId w:val="16"/>
  </w:num>
  <w:num w:numId="24" w16cid:durableId="157308030">
    <w:abstractNumId w:val="27"/>
  </w:num>
  <w:num w:numId="25" w16cid:durableId="1847137593">
    <w:abstractNumId w:val="25"/>
  </w:num>
  <w:num w:numId="26" w16cid:durableId="219368361">
    <w:abstractNumId w:val="21"/>
  </w:num>
  <w:num w:numId="27" w16cid:durableId="496380756">
    <w:abstractNumId w:val="11"/>
  </w:num>
  <w:num w:numId="28" w16cid:durableId="26104432">
    <w:abstractNumId w:val="28"/>
  </w:num>
  <w:num w:numId="29" w16cid:durableId="1107969314">
    <w:abstractNumId w:val="9"/>
  </w:num>
  <w:num w:numId="30" w16cid:durableId="1947037841">
    <w:abstractNumId w:val="7"/>
  </w:num>
  <w:num w:numId="31" w16cid:durableId="407650795">
    <w:abstractNumId w:val="6"/>
  </w:num>
  <w:num w:numId="32" w16cid:durableId="2005159845">
    <w:abstractNumId w:val="5"/>
  </w:num>
  <w:num w:numId="33" w16cid:durableId="220598437">
    <w:abstractNumId w:val="4"/>
  </w:num>
  <w:num w:numId="34" w16cid:durableId="617177976">
    <w:abstractNumId w:val="8"/>
  </w:num>
  <w:num w:numId="35" w16cid:durableId="1045524312">
    <w:abstractNumId w:val="3"/>
  </w:num>
  <w:num w:numId="36" w16cid:durableId="2036690916">
    <w:abstractNumId w:val="2"/>
  </w:num>
  <w:num w:numId="37" w16cid:durableId="1121873374">
    <w:abstractNumId w:val="1"/>
  </w:num>
  <w:num w:numId="38" w16cid:durableId="1268535755">
    <w:abstractNumId w:val="0"/>
  </w:num>
  <w:num w:numId="39" w16cid:durableId="17069512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3116660">
    <w:abstractNumId w:val="20"/>
  </w:num>
  <w:num w:numId="41" w16cid:durableId="595869850">
    <w:abstractNumId w:val="15"/>
  </w:num>
  <w:num w:numId="42" w16cid:durableId="199479040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6E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5A1B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BB5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D"/>
    <w:rsid w:val="00170200"/>
    <w:rsid w:val="001712C2"/>
    <w:rsid w:val="00172BAF"/>
    <w:rsid w:val="001771DD"/>
    <w:rsid w:val="00177995"/>
    <w:rsid w:val="00177A8C"/>
    <w:rsid w:val="00186B33"/>
    <w:rsid w:val="001872E0"/>
    <w:rsid w:val="00192F9D"/>
    <w:rsid w:val="00196EB8"/>
    <w:rsid w:val="00196EFB"/>
    <w:rsid w:val="001979FF"/>
    <w:rsid w:val="00197B17"/>
    <w:rsid w:val="001A1950"/>
    <w:rsid w:val="001A1C54"/>
    <w:rsid w:val="001A3ACE"/>
    <w:rsid w:val="001A7BC9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3F41"/>
    <w:rsid w:val="001F6E46"/>
    <w:rsid w:val="001F7186"/>
    <w:rsid w:val="001F7C91"/>
    <w:rsid w:val="00200176"/>
    <w:rsid w:val="002033B7"/>
    <w:rsid w:val="00203E53"/>
    <w:rsid w:val="00206463"/>
    <w:rsid w:val="00206F2F"/>
    <w:rsid w:val="0021053D"/>
    <w:rsid w:val="00210A92"/>
    <w:rsid w:val="002125F8"/>
    <w:rsid w:val="00216C03"/>
    <w:rsid w:val="00220C04"/>
    <w:rsid w:val="0022212D"/>
    <w:rsid w:val="0022278D"/>
    <w:rsid w:val="00223B0D"/>
    <w:rsid w:val="0022701F"/>
    <w:rsid w:val="00227C68"/>
    <w:rsid w:val="002333F5"/>
    <w:rsid w:val="00233724"/>
    <w:rsid w:val="002365B4"/>
    <w:rsid w:val="002408BA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FB4"/>
    <w:rsid w:val="00267C3E"/>
    <w:rsid w:val="002709BB"/>
    <w:rsid w:val="00270D20"/>
    <w:rsid w:val="0027113F"/>
    <w:rsid w:val="00273AD4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5DD"/>
    <w:rsid w:val="002D1E0D"/>
    <w:rsid w:val="002D5006"/>
    <w:rsid w:val="002E01D0"/>
    <w:rsid w:val="002E161D"/>
    <w:rsid w:val="002E3100"/>
    <w:rsid w:val="002E6C95"/>
    <w:rsid w:val="002E7C36"/>
    <w:rsid w:val="002F0107"/>
    <w:rsid w:val="002F31E1"/>
    <w:rsid w:val="002F3853"/>
    <w:rsid w:val="002F3D32"/>
    <w:rsid w:val="002F5F31"/>
    <w:rsid w:val="002F5F46"/>
    <w:rsid w:val="00302216"/>
    <w:rsid w:val="00303E53"/>
    <w:rsid w:val="00304DCB"/>
    <w:rsid w:val="00305CC1"/>
    <w:rsid w:val="00306E5F"/>
    <w:rsid w:val="00307E14"/>
    <w:rsid w:val="00314054"/>
    <w:rsid w:val="0031432B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DC6"/>
    <w:rsid w:val="00357B4E"/>
    <w:rsid w:val="00360AF7"/>
    <w:rsid w:val="003716FD"/>
    <w:rsid w:val="0037204B"/>
    <w:rsid w:val="00373890"/>
    <w:rsid w:val="003744CF"/>
    <w:rsid w:val="00374717"/>
    <w:rsid w:val="0037676C"/>
    <w:rsid w:val="00381043"/>
    <w:rsid w:val="003829E5"/>
    <w:rsid w:val="0038528D"/>
    <w:rsid w:val="00386109"/>
    <w:rsid w:val="00386944"/>
    <w:rsid w:val="00387225"/>
    <w:rsid w:val="0039416F"/>
    <w:rsid w:val="003956CC"/>
    <w:rsid w:val="00395C9A"/>
    <w:rsid w:val="003A0853"/>
    <w:rsid w:val="003A6B67"/>
    <w:rsid w:val="003A7D73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1953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3CFC"/>
    <w:rsid w:val="004148F9"/>
    <w:rsid w:val="00414D4A"/>
    <w:rsid w:val="0042084E"/>
    <w:rsid w:val="00421EEF"/>
    <w:rsid w:val="00424D65"/>
    <w:rsid w:val="00431D4C"/>
    <w:rsid w:val="004330D7"/>
    <w:rsid w:val="00442C6C"/>
    <w:rsid w:val="00443CBE"/>
    <w:rsid w:val="00443E8A"/>
    <w:rsid w:val="004441BC"/>
    <w:rsid w:val="004468B4"/>
    <w:rsid w:val="0044715C"/>
    <w:rsid w:val="004472E3"/>
    <w:rsid w:val="004479DE"/>
    <w:rsid w:val="0045230A"/>
    <w:rsid w:val="00454AD0"/>
    <w:rsid w:val="00457337"/>
    <w:rsid w:val="00462E3D"/>
    <w:rsid w:val="00466128"/>
    <w:rsid w:val="00466E79"/>
    <w:rsid w:val="00470D7D"/>
    <w:rsid w:val="0047372D"/>
    <w:rsid w:val="00473BA3"/>
    <w:rsid w:val="004743DD"/>
    <w:rsid w:val="00474CEA"/>
    <w:rsid w:val="00477304"/>
    <w:rsid w:val="00483968"/>
    <w:rsid w:val="00484276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44E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198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0520"/>
    <w:rsid w:val="00591F04"/>
    <w:rsid w:val="00596A4B"/>
    <w:rsid w:val="00597507"/>
    <w:rsid w:val="00597BD1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504"/>
    <w:rsid w:val="00605908"/>
    <w:rsid w:val="00610D7C"/>
    <w:rsid w:val="00613414"/>
    <w:rsid w:val="00615CD6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0943"/>
    <w:rsid w:val="006621D7"/>
    <w:rsid w:val="00662C8A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610C"/>
    <w:rsid w:val="006F0330"/>
    <w:rsid w:val="006F1FDC"/>
    <w:rsid w:val="006F6B8C"/>
    <w:rsid w:val="007013EF"/>
    <w:rsid w:val="007055BD"/>
    <w:rsid w:val="007173CA"/>
    <w:rsid w:val="007209F5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2C7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649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258D"/>
    <w:rsid w:val="008130C4"/>
    <w:rsid w:val="008155F0"/>
    <w:rsid w:val="00816735"/>
    <w:rsid w:val="00820141"/>
    <w:rsid w:val="00820E0C"/>
    <w:rsid w:val="008213F0"/>
    <w:rsid w:val="00823275"/>
    <w:rsid w:val="0082366F"/>
    <w:rsid w:val="00830D29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3D04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1AE"/>
    <w:rsid w:val="008E4376"/>
    <w:rsid w:val="008E7A0A"/>
    <w:rsid w:val="008E7B49"/>
    <w:rsid w:val="008F1FF0"/>
    <w:rsid w:val="008F59F6"/>
    <w:rsid w:val="00900719"/>
    <w:rsid w:val="009017AC"/>
    <w:rsid w:val="00902A9A"/>
    <w:rsid w:val="00904A1C"/>
    <w:rsid w:val="00904AB4"/>
    <w:rsid w:val="00905030"/>
    <w:rsid w:val="00906161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1C5F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AC4"/>
    <w:rsid w:val="009B0A6F"/>
    <w:rsid w:val="009B0A94"/>
    <w:rsid w:val="009B2AE8"/>
    <w:rsid w:val="009B59E9"/>
    <w:rsid w:val="009B60C4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A52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29D9"/>
    <w:rsid w:val="00A1389F"/>
    <w:rsid w:val="00A157B1"/>
    <w:rsid w:val="00A22229"/>
    <w:rsid w:val="00A24442"/>
    <w:rsid w:val="00A330BB"/>
    <w:rsid w:val="00A34643"/>
    <w:rsid w:val="00A44882"/>
    <w:rsid w:val="00A45125"/>
    <w:rsid w:val="00A54715"/>
    <w:rsid w:val="00A6061C"/>
    <w:rsid w:val="00A62D44"/>
    <w:rsid w:val="00A67263"/>
    <w:rsid w:val="00A7161C"/>
    <w:rsid w:val="00A77AA3"/>
    <w:rsid w:val="00A82090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C77F3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7E4"/>
    <w:rsid w:val="00AE74C3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27554"/>
    <w:rsid w:val="00B307CC"/>
    <w:rsid w:val="00B326B7"/>
    <w:rsid w:val="00B3588E"/>
    <w:rsid w:val="00B41F3D"/>
    <w:rsid w:val="00B431E8"/>
    <w:rsid w:val="00B45141"/>
    <w:rsid w:val="00B46A6D"/>
    <w:rsid w:val="00B46DE7"/>
    <w:rsid w:val="00B519CD"/>
    <w:rsid w:val="00B5273A"/>
    <w:rsid w:val="00B57329"/>
    <w:rsid w:val="00B60E61"/>
    <w:rsid w:val="00B6295C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3B85"/>
    <w:rsid w:val="00B94CD5"/>
    <w:rsid w:val="00B950BC"/>
    <w:rsid w:val="00B9714C"/>
    <w:rsid w:val="00BA248A"/>
    <w:rsid w:val="00BA29AD"/>
    <w:rsid w:val="00BA33CF"/>
    <w:rsid w:val="00BA3F8D"/>
    <w:rsid w:val="00BB4AD5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3D9"/>
    <w:rsid w:val="00BF557D"/>
    <w:rsid w:val="00BF7F58"/>
    <w:rsid w:val="00C01381"/>
    <w:rsid w:val="00C01AB1"/>
    <w:rsid w:val="00C026A0"/>
    <w:rsid w:val="00C0405C"/>
    <w:rsid w:val="00C06137"/>
    <w:rsid w:val="00C079B8"/>
    <w:rsid w:val="00C10037"/>
    <w:rsid w:val="00C123EA"/>
    <w:rsid w:val="00C12A49"/>
    <w:rsid w:val="00C133EE"/>
    <w:rsid w:val="00C149D0"/>
    <w:rsid w:val="00C22D83"/>
    <w:rsid w:val="00C26588"/>
    <w:rsid w:val="00C27DE9"/>
    <w:rsid w:val="00C32989"/>
    <w:rsid w:val="00C33388"/>
    <w:rsid w:val="00C3546D"/>
    <w:rsid w:val="00C35484"/>
    <w:rsid w:val="00C4173A"/>
    <w:rsid w:val="00C50C4D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E18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14F6"/>
    <w:rsid w:val="00CD3476"/>
    <w:rsid w:val="00CD64DF"/>
    <w:rsid w:val="00CE1629"/>
    <w:rsid w:val="00CE225F"/>
    <w:rsid w:val="00CE435F"/>
    <w:rsid w:val="00CF2F50"/>
    <w:rsid w:val="00CF6198"/>
    <w:rsid w:val="00D02919"/>
    <w:rsid w:val="00D04C61"/>
    <w:rsid w:val="00D05B8D"/>
    <w:rsid w:val="00D065A2"/>
    <w:rsid w:val="00D06721"/>
    <w:rsid w:val="00D079AA"/>
    <w:rsid w:val="00D07F00"/>
    <w:rsid w:val="00D1130F"/>
    <w:rsid w:val="00D17B72"/>
    <w:rsid w:val="00D21798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9DC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1EF8"/>
    <w:rsid w:val="00E170DC"/>
    <w:rsid w:val="00E17546"/>
    <w:rsid w:val="00E17B4F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E9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0E"/>
    <w:rsid w:val="00F30FF4"/>
    <w:rsid w:val="00F3122E"/>
    <w:rsid w:val="00F32368"/>
    <w:rsid w:val="00F331AD"/>
    <w:rsid w:val="00F35287"/>
    <w:rsid w:val="00F40A70"/>
    <w:rsid w:val="00F43A37"/>
    <w:rsid w:val="00F44015"/>
    <w:rsid w:val="00F451AB"/>
    <w:rsid w:val="00F4641B"/>
    <w:rsid w:val="00F46EB8"/>
    <w:rsid w:val="00F50CD1"/>
    <w:rsid w:val="00F511E4"/>
    <w:rsid w:val="00F5225E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676F4"/>
    <w:rsid w:val="00F712D8"/>
    <w:rsid w:val="00F72C2C"/>
    <w:rsid w:val="00F76B37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6070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6A9A"/>
    <w:rsid w:val="00FD722A"/>
    <w:rsid w:val="00FE2DCF"/>
    <w:rsid w:val="00FE3FA7"/>
    <w:rsid w:val="00FE7901"/>
    <w:rsid w:val="00FF2A4E"/>
    <w:rsid w:val="00FF2FCE"/>
    <w:rsid w:val="00FF4DE4"/>
    <w:rsid w:val="00FF4F7D"/>
    <w:rsid w:val="00FF54DF"/>
    <w:rsid w:val="00FF6D9D"/>
    <w:rsid w:val="00FF7DD5"/>
    <w:rsid w:val="20555AFD"/>
    <w:rsid w:val="3B30FF70"/>
    <w:rsid w:val="53FA3412"/>
    <w:rsid w:val="6A067840"/>
    <w:rsid w:val="6BACF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A0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ullet1">
    <w:name w:val="DHHS bullet 1"/>
    <w:basedOn w:val="Normal"/>
    <w:qFormat/>
    <w:rsid w:val="008F1FF0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tabletext">
    <w:name w:val="DHHS table text"/>
    <w:uiPriority w:val="3"/>
    <w:qFormat/>
    <w:rsid w:val="008F1FF0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Normal"/>
    <w:uiPriority w:val="2"/>
    <w:qFormat/>
    <w:rsid w:val="008F1FF0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DHHStabletext"/>
    <w:uiPriority w:val="3"/>
    <w:qFormat/>
    <w:rsid w:val="008F1FF0"/>
    <w:pPr>
      <w:ind w:left="227" w:hanging="227"/>
    </w:pPr>
  </w:style>
  <w:style w:type="paragraph" w:customStyle="1" w:styleId="DHHSbulletindent">
    <w:name w:val="DHHS bullet indent"/>
    <w:basedOn w:val="Normal"/>
    <w:uiPriority w:val="4"/>
    <w:rsid w:val="008F1FF0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8F1FF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F1FF0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8F1FF0"/>
    <w:pPr>
      <w:spacing w:line="270" w:lineRule="atLeast"/>
      <w:ind w:left="680" w:hanging="283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emeterie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justice.vic.gov.au/statdec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stice.vic.gov.au/statdec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meteries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lass-b-cemetery-trust-financial-reporting-and-proced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12b06ef99d45cf54d35cff4a402bb1e6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ad6684d1fee8d4548452c8c2d9afd1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C317A-FB12-4F3F-BEE0-8857A55F4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4AFF0-9A62-463D-A244-76B909FDF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2EFA9-0D48-40EB-9B77-121DA3C30773}">
  <ds:schemaRefs>
    <ds:schemaRef ds:uri="http://purl.org/dc/terms/"/>
    <ds:schemaRef ds:uri="http://schemas.microsoft.com/office/2006/documentManagement/types"/>
    <ds:schemaRef ds:uri="5ef5d2a5-5e0a-4ee3-8ef3-5bcda44265f1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ce0f2b5-5be5-4508-bce9-d7011ece0659"/>
    <ds:schemaRef ds:uri="6371cb4f-6914-47b5-91ad-9d8989e82ae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3EFCEB-24ED-42B1-A8C9-506FC867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of accounts checklist</vt:lpstr>
    </vt:vector>
  </TitlesOfParts>
  <Manager/>
  <Company/>
  <LinksUpToDate>false</LinksUpToDate>
  <CharactersWithSpaces>7438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of accounts checklist</dc:title>
  <dc:subject>Abstract of accounts checklist</dc:subject>
  <dc:creator/>
  <cp:keywords>cemetery trust, cemeteries, crematoria, victoria, abstract of accounts</cp:keywords>
  <dc:description/>
  <cp:lastModifiedBy/>
  <cp:revision>1</cp:revision>
  <dcterms:created xsi:type="dcterms:W3CDTF">2024-06-12T04:18:00Z</dcterms:created>
  <dcterms:modified xsi:type="dcterms:W3CDTF">2024-06-12T05:41:00Z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2021-06-30T02:16:44Z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aa5255e1-9fb4-40ed-b802-d93758ede094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