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18C34A10" w:rsidR="003B5733" w:rsidRPr="00B86563" w:rsidRDefault="00B86563" w:rsidP="00B86563">
            <w:pPr>
              <w:pStyle w:val="Heading1"/>
            </w:pPr>
            <w:bookmarkStart w:id="0" w:name="_Toc161309282"/>
            <w:r w:rsidRPr="00B86563">
              <w:t>Appendix 2: Aesthetic, cosmetic and other procedures that require identified medical indications</w:t>
            </w:r>
            <w:bookmarkEnd w:id="0"/>
          </w:p>
        </w:tc>
      </w:tr>
      <w:tr w:rsidR="003B5733" w14:paraId="2B0FB168" w14:textId="77777777" w:rsidTr="00B07FF7">
        <w:tc>
          <w:tcPr>
            <w:tcW w:w="10348" w:type="dxa"/>
          </w:tcPr>
          <w:p w14:paraId="6C198BA9" w14:textId="12CEEE68" w:rsidR="003B5733" w:rsidRPr="00A1389F" w:rsidRDefault="00334563" w:rsidP="005F44C0">
            <w:pPr>
              <w:pStyle w:val="Documentsubtitle"/>
            </w:pPr>
            <w:r>
              <w:t xml:space="preserve">Extract from </w:t>
            </w:r>
            <w:r w:rsidR="0026285A" w:rsidRPr="0026285A">
              <w:rPr>
                <w:i/>
                <w:iCs/>
              </w:rPr>
              <w:t>Planned surgery access policy 2024</w:t>
            </w:r>
          </w:p>
        </w:tc>
      </w:tr>
      <w:tr w:rsidR="003B5733" w14:paraId="1D099E71" w14:textId="77777777" w:rsidTr="00B07FF7">
        <w:tc>
          <w:tcPr>
            <w:tcW w:w="10348" w:type="dxa"/>
          </w:tcPr>
          <w:p w14:paraId="1415A28C" w14:textId="77777777" w:rsidR="003B5733" w:rsidRPr="001E5058" w:rsidRDefault="00E87BDB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9F1300">
              <w:t>OFFICIAL</w:t>
            </w:r>
            <w:r>
              <w:fldChar w:fldCharType="end"/>
            </w:r>
          </w:p>
        </w:tc>
      </w:tr>
    </w:tbl>
    <w:p w14:paraId="48F8CC81" w14:textId="77777777" w:rsidR="005B7F18" w:rsidRDefault="005B7F18" w:rsidP="005B7F18">
      <w:pPr>
        <w:rPr>
          <w:rFonts w:eastAsia="Times" w:cs="Arial"/>
          <w:szCs w:val="21"/>
        </w:rPr>
      </w:pPr>
    </w:p>
    <w:p w14:paraId="27304DCD" w14:textId="261684FE" w:rsidR="005B7F18" w:rsidRPr="002F217F" w:rsidRDefault="005B7F18" w:rsidP="005B7F18">
      <w:pPr>
        <w:rPr>
          <w:rFonts w:eastAsia="Times" w:cs="Arial"/>
          <w:szCs w:val="21"/>
        </w:rPr>
      </w:pPr>
      <w:r w:rsidRPr="002F217F">
        <w:rPr>
          <w:rFonts w:eastAsia="Times" w:cs="Arial"/>
          <w:szCs w:val="21"/>
        </w:rPr>
        <w:t xml:space="preserve">Aesthetic </w:t>
      </w:r>
      <w:r>
        <w:rPr>
          <w:rFonts w:eastAsia="Times" w:cs="Arial"/>
          <w:szCs w:val="21"/>
        </w:rPr>
        <w:t xml:space="preserve">or cosmetic </w:t>
      </w:r>
      <w:r w:rsidRPr="002F217F">
        <w:rPr>
          <w:rFonts w:eastAsia="Times" w:cs="Arial"/>
          <w:szCs w:val="21"/>
        </w:rPr>
        <w:t>procedures are operations, procedures and treatments that revise or change the appearance, colour, texture, structure or position of bodily features</w:t>
      </w:r>
      <w:r>
        <w:rPr>
          <w:rFonts w:eastAsia="Times" w:cs="Arial"/>
          <w:szCs w:val="21"/>
        </w:rPr>
        <w:t>.</w:t>
      </w:r>
      <w:r w:rsidRPr="002F217F">
        <w:rPr>
          <w:rFonts w:eastAsia="Times" w:cs="Arial"/>
          <w:szCs w:val="21"/>
        </w:rPr>
        <w:t xml:space="preserve"> </w:t>
      </w:r>
      <w:r>
        <w:rPr>
          <w:rFonts w:eastAsia="Times" w:cs="Arial"/>
          <w:szCs w:val="21"/>
        </w:rPr>
        <w:t>They aim to improve</w:t>
      </w:r>
      <w:r w:rsidRPr="002F217F">
        <w:rPr>
          <w:rFonts w:eastAsia="Times" w:cs="Arial"/>
          <w:szCs w:val="21"/>
        </w:rPr>
        <w:t xml:space="preserve"> the patient’s appearance or self-esteem. </w:t>
      </w:r>
    </w:p>
    <w:p w14:paraId="03257BBB" w14:textId="77777777" w:rsidR="005B7F18" w:rsidRDefault="005B7F18" w:rsidP="005B7F18">
      <w:pPr>
        <w:rPr>
          <w:rFonts w:eastAsia="Times" w:cs="Arial"/>
          <w:szCs w:val="21"/>
        </w:rPr>
      </w:pPr>
      <w:r w:rsidRPr="002F217F">
        <w:rPr>
          <w:rFonts w:eastAsia="Times" w:cs="Arial"/>
          <w:szCs w:val="21"/>
        </w:rPr>
        <w:t xml:space="preserve">Aesthetic procedures differ from reconstructive surgery, which is surgery performed on structures of the body caused by congenital defects, developmental abnormalities, trauma, infection, tumours or disease. </w:t>
      </w:r>
    </w:p>
    <w:p w14:paraId="500868A2" w14:textId="77777777" w:rsidR="005B7F18" w:rsidRPr="002F217F" w:rsidRDefault="005B7F18" w:rsidP="005B7F18">
      <w:pPr>
        <w:rPr>
          <w:rFonts w:eastAsia="Times" w:cs="Arial"/>
          <w:sz w:val="16"/>
          <w:szCs w:val="16"/>
        </w:rPr>
      </w:pPr>
      <w:r w:rsidRPr="002F217F">
        <w:rPr>
          <w:rFonts w:eastAsia="Times" w:cs="Arial"/>
          <w:szCs w:val="21"/>
        </w:rPr>
        <w:t xml:space="preserve">Reconstructive surgery </w:t>
      </w:r>
      <w:r>
        <w:rPr>
          <w:rFonts w:eastAsia="Times" w:cs="Arial"/>
          <w:szCs w:val="21"/>
        </w:rPr>
        <w:t>is performed to body parts that are affected aesthetically or functionally.</w:t>
      </w:r>
      <w:r>
        <w:rPr>
          <w:rStyle w:val="FootnoteReference"/>
          <w:rFonts w:eastAsia="Times" w:cs="Arial"/>
          <w:szCs w:val="21"/>
        </w:rPr>
        <w:footnoteReference w:id="1"/>
      </w:r>
      <w:r>
        <w:rPr>
          <w:rFonts w:eastAsia="Times" w:cs="Arial"/>
          <w:szCs w:val="21"/>
        </w:rPr>
        <w:t xml:space="preserve"> </w:t>
      </w:r>
    </w:p>
    <w:p w14:paraId="6DA2F56E" w14:textId="77777777" w:rsidR="005B7F18" w:rsidRPr="002F217F" w:rsidRDefault="005B7F18" w:rsidP="005B7F18">
      <w:pPr>
        <w:rPr>
          <w:rFonts w:eastAsia="Times" w:cs="Arial"/>
          <w:szCs w:val="21"/>
        </w:rPr>
      </w:pPr>
      <w:r w:rsidRPr="002F217F">
        <w:rPr>
          <w:rFonts w:eastAsia="Times" w:cs="Arial"/>
          <w:szCs w:val="21"/>
        </w:rPr>
        <w:t>Cosmeti</w:t>
      </w:r>
      <w:r>
        <w:rPr>
          <w:rFonts w:eastAsia="Times" w:cs="Arial"/>
          <w:szCs w:val="21"/>
        </w:rPr>
        <w:t>c</w:t>
      </w:r>
      <w:r w:rsidRPr="002F217F">
        <w:rPr>
          <w:rFonts w:eastAsia="Times" w:cs="Arial"/>
          <w:szCs w:val="21"/>
        </w:rPr>
        <w:t xml:space="preserve"> surgery without medical indications is currently restricted and cannot be performed unless specific medical indications exist.</w:t>
      </w:r>
      <w:r>
        <w:rPr>
          <w:rFonts w:eastAsia="Times" w:cs="Arial"/>
          <w:szCs w:val="21"/>
        </w:rPr>
        <w:t xml:space="preserve"> </w:t>
      </w:r>
      <w:r w:rsidRPr="002F217F">
        <w:rPr>
          <w:rFonts w:eastAsia="Times" w:cs="Arial"/>
          <w:szCs w:val="21"/>
        </w:rPr>
        <w:t xml:space="preserve">Below are the clinical thresholds that determine whether surgery is necessary for the listed procedures: </w:t>
      </w:r>
    </w:p>
    <w:p w14:paraId="1FAE60FE" w14:textId="77777777" w:rsidR="005B7F18" w:rsidRPr="00F21B06" w:rsidRDefault="005B7F18" w:rsidP="005B7F18">
      <w:pPr>
        <w:pStyle w:val="Heading2"/>
      </w:pPr>
      <w:bookmarkStart w:id="1" w:name="_Toc148078074"/>
      <w:bookmarkStart w:id="2" w:name="_Toc157000188"/>
      <w:bookmarkStart w:id="3" w:name="_Toc157514078"/>
      <w:bookmarkStart w:id="4" w:name="_Toc157514153"/>
      <w:bookmarkStart w:id="5" w:name="_Toc157589737"/>
      <w:bookmarkStart w:id="6" w:name="_Toc161309283"/>
      <w:r>
        <w:t>Face/head procedures</w:t>
      </w:r>
      <w:bookmarkEnd w:id="1"/>
      <w:bookmarkEnd w:id="2"/>
      <w:bookmarkEnd w:id="3"/>
      <w:bookmarkEnd w:id="4"/>
      <w:bookmarkEnd w:id="5"/>
      <w:bookmarkEnd w:id="6"/>
      <w:r>
        <w:t xml:space="preserve"> </w:t>
      </w:r>
    </w:p>
    <w:p w14:paraId="7FCBB6A1" w14:textId="77777777" w:rsidR="005B7F18" w:rsidRPr="00BA2049" w:rsidRDefault="005B7F18" w:rsidP="005B7F18">
      <w:pPr>
        <w:pStyle w:val="Heading3"/>
        <w:rPr>
          <w:sz w:val="30"/>
        </w:rPr>
      </w:pPr>
      <w:bookmarkStart w:id="7" w:name="_Toc161309284"/>
      <w:proofErr w:type="spellStart"/>
      <w:r w:rsidRPr="00C22DAC">
        <w:t>Meloplasty</w:t>
      </w:r>
      <w:proofErr w:type="spellEnd"/>
      <w:r w:rsidRPr="00C22DAC">
        <w:t>/facelift</w:t>
      </w:r>
      <w:bookmarkEnd w:id="7"/>
    </w:p>
    <w:p w14:paraId="452A2DD5" w14:textId="77777777" w:rsidR="005B7F18" w:rsidRPr="002F217F" w:rsidRDefault="005B7F18" w:rsidP="005B7F18">
      <w:pPr>
        <w:pStyle w:val="Body"/>
        <w:rPr>
          <w:lang w:eastAsia="en-AU"/>
        </w:rPr>
      </w:pPr>
      <w:r w:rsidRPr="002F217F">
        <w:rPr>
          <w:lang w:eastAsia="en-AU"/>
        </w:rPr>
        <w:t>Significant deformity and surgery indicated due to disease, trauma or congenital conditions</w:t>
      </w:r>
      <w:r>
        <w:rPr>
          <w:lang w:eastAsia="en-AU"/>
        </w:rPr>
        <w:t>.</w:t>
      </w:r>
    </w:p>
    <w:p w14:paraId="7E2D1B38" w14:textId="77777777" w:rsidR="005B7F18" w:rsidRPr="002F217F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>Significant deformity following surgery where the initial procedure was not a cosmetic procedure</w:t>
      </w:r>
      <w:r>
        <w:rPr>
          <w:lang w:eastAsia="en-AU"/>
        </w:rPr>
        <w:t>.</w:t>
      </w:r>
    </w:p>
    <w:p w14:paraId="237A2131" w14:textId="77777777" w:rsidR="005B7F18" w:rsidRPr="002F217F" w:rsidRDefault="005B7F18" w:rsidP="005B7F18">
      <w:pPr>
        <w:pStyle w:val="Heading3"/>
        <w:rPr>
          <w:rFonts w:eastAsia="Calibri" w:cs="Arial"/>
          <w:szCs w:val="21"/>
        </w:rPr>
      </w:pPr>
      <w:bookmarkStart w:id="8" w:name="_Toc161309285"/>
      <w:r w:rsidRPr="002F217F">
        <w:t>Reduction of upper or lower eyelid (</w:t>
      </w:r>
      <w:r w:rsidRPr="00F21B06">
        <w:t>blepharoplasty</w:t>
      </w:r>
      <w:r w:rsidRPr="002F217F">
        <w:t>)</w:t>
      </w:r>
      <w:bookmarkEnd w:id="8"/>
    </w:p>
    <w:p w14:paraId="1F58135E" w14:textId="77777777" w:rsidR="005B7F18" w:rsidRPr="002F217F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>Visual obstruction</w:t>
      </w:r>
      <w:r>
        <w:rPr>
          <w:lang w:eastAsia="en-AU"/>
        </w:rPr>
        <w:t>.</w:t>
      </w:r>
    </w:p>
    <w:p w14:paraId="10EBCA54" w14:textId="77777777" w:rsidR="005B7F18" w:rsidRPr="00BA2049" w:rsidRDefault="005B7F18" w:rsidP="005B7F18">
      <w:pPr>
        <w:pStyle w:val="Heading3"/>
        <w:rPr>
          <w:sz w:val="30"/>
        </w:rPr>
      </w:pPr>
      <w:bookmarkStart w:id="9" w:name="_Toc161309286"/>
      <w:r w:rsidRPr="002F217F">
        <w:t>Rhinoplasty/</w:t>
      </w:r>
      <w:proofErr w:type="spellStart"/>
      <w:r w:rsidRPr="002F217F">
        <w:t>r</w:t>
      </w:r>
      <w:r>
        <w:t>h</w:t>
      </w:r>
      <w:r w:rsidRPr="002F217F">
        <w:t>inoseptoplasty</w:t>
      </w:r>
      <w:bookmarkEnd w:id="9"/>
      <w:proofErr w:type="spellEnd"/>
    </w:p>
    <w:p w14:paraId="40BDAF70" w14:textId="77777777" w:rsidR="005B7F18" w:rsidRPr="002F217F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 xml:space="preserve">Significant deformity and surgery </w:t>
      </w:r>
      <w:proofErr w:type="gramStart"/>
      <w:r w:rsidRPr="002F217F">
        <w:rPr>
          <w:lang w:eastAsia="en-AU"/>
        </w:rPr>
        <w:t>is</w:t>
      </w:r>
      <w:proofErr w:type="gramEnd"/>
      <w:r w:rsidRPr="002F217F">
        <w:rPr>
          <w:lang w:eastAsia="en-AU"/>
        </w:rPr>
        <w:t xml:space="preserve"> indicated due to disease, trauma or congenital conditions</w:t>
      </w:r>
      <w:r>
        <w:rPr>
          <w:lang w:eastAsia="en-AU"/>
        </w:rPr>
        <w:t>.</w:t>
      </w:r>
    </w:p>
    <w:p w14:paraId="48003AFF" w14:textId="77777777" w:rsidR="005B7F18" w:rsidRPr="00F21B06" w:rsidRDefault="005B7F18" w:rsidP="005B7F18">
      <w:pPr>
        <w:pStyle w:val="Heading3"/>
      </w:pPr>
      <w:bookmarkStart w:id="10" w:name="_Toc161309287"/>
      <w:r w:rsidRPr="002F217F">
        <w:t xml:space="preserve">Repair of </w:t>
      </w:r>
      <w:r w:rsidRPr="00374F76">
        <w:t>external ear lobes</w:t>
      </w:r>
      <w:bookmarkEnd w:id="10"/>
    </w:p>
    <w:p w14:paraId="4BE42446" w14:textId="77777777" w:rsidR="005B7F18" w:rsidRPr="002F217F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 xml:space="preserve">Significant deformity and surgery </w:t>
      </w:r>
      <w:proofErr w:type="gramStart"/>
      <w:r w:rsidRPr="002F217F">
        <w:rPr>
          <w:lang w:eastAsia="en-AU"/>
        </w:rPr>
        <w:t>is</w:t>
      </w:r>
      <w:proofErr w:type="gramEnd"/>
      <w:r w:rsidRPr="002F217F">
        <w:rPr>
          <w:lang w:eastAsia="en-AU"/>
        </w:rPr>
        <w:t xml:space="preserve"> indicated due to disease, trauma or congenital conditions but not as the result of use of a decorative expander or similar device</w:t>
      </w:r>
      <w:r>
        <w:rPr>
          <w:lang w:eastAsia="en-AU"/>
        </w:rPr>
        <w:t>.</w:t>
      </w:r>
    </w:p>
    <w:p w14:paraId="0A5070E4" w14:textId="77777777" w:rsidR="005B7F18" w:rsidRPr="00BA2049" w:rsidRDefault="005B7F18" w:rsidP="005B7F18">
      <w:pPr>
        <w:pStyle w:val="Heading3"/>
        <w:rPr>
          <w:sz w:val="30"/>
        </w:rPr>
      </w:pPr>
      <w:bookmarkStart w:id="11" w:name="_Toc161309288"/>
      <w:r w:rsidRPr="002F217F">
        <w:t>Correction of bat ear(s)</w:t>
      </w:r>
      <w:bookmarkEnd w:id="11"/>
    </w:p>
    <w:p w14:paraId="4B079E0A" w14:textId="77777777" w:rsidR="005B7F18" w:rsidRPr="002F217F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>Patient is less than 19 years old</w:t>
      </w:r>
      <w:r>
        <w:rPr>
          <w:lang w:eastAsia="en-AU"/>
        </w:rPr>
        <w:t>.</w:t>
      </w:r>
    </w:p>
    <w:p w14:paraId="7E46BCD9" w14:textId="77777777" w:rsidR="005B7F18" w:rsidRPr="00BA2049" w:rsidRDefault="005B7F18" w:rsidP="005B7F18">
      <w:pPr>
        <w:pStyle w:val="Heading3"/>
        <w:rPr>
          <w:sz w:val="30"/>
        </w:rPr>
      </w:pPr>
      <w:bookmarkStart w:id="12" w:name="_Toc161309289"/>
      <w:r w:rsidRPr="002F217F">
        <w:lastRenderedPageBreak/>
        <w:t>Hair transpl</w:t>
      </w:r>
      <w:r w:rsidRPr="00307162">
        <w:t>ant</w:t>
      </w:r>
      <w:bookmarkEnd w:id="12"/>
    </w:p>
    <w:p w14:paraId="7AC7BB27" w14:textId="77777777" w:rsidR="005B7F18" w:rsidRPr="00C65F42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>Disfiguring hair loss and surgery is indicated due to disease, trauma or congenital conditions</w:t>
      </w:r>
      <w:r>
        <w:rPr>
          <w:lang w:eastAsia="en-AU"/>
        </w:rPr>
        <w:t>.</w:t>
      </w:r>
    </w:p>
    <w:p w14:paraId="5B63BDC7" w14:textId="77777777" w:rsidR="005B7F18" w:rsidRPr="00F21B06" w:rsidRDefault="005B7F18" w:rsidP="005B7F18">
      <w:pPr>
        <w:pStyle w:val="Heading2"/>
      </w:pPr>
      <w:bookmarkStart w:id="13" w:name="_Toc148078075"/>
      <w:bookmarkStart w:id="14" w:name="_Toc157000189"/>
      <w:bookmarkStart w:id="15" w:name="_Toc157514079"/>
      <w:bookmarkStart w:id="16" w:name="_Toc157514154"/>
      <w:bookmarkStart w:id="17" w:name="_Toc157589738"/>
      <w:bookmarkStart w:id="18" w:name="_Toc161309290"/>
      <w:r>
        <w:t>Breast procedures</w:t>
      </w:r>
      <w:bookmarkEnd w:id="13"/>
      <w:bookmarkEnd w:id="14"/>
      <w:bookmarkEnd w:id="15"/>
      <w:bookmarkEnd w:id="16"/>
      <w:bookmarkEnd w:id="17"/>
      <w:bookmarkEnd w:id="18"/>
      <w:r w:rsidRPr="2043592E">
        <w:rPr>
          <w:rFonts w:cs="Arial"/>
        </w:rPr>
        <w:t xml:space="preserve"> </w:t>
      </w:r>
    </w:p>
    <w:p w14:paraId="1C7469D1" w14:textId="77777777" w:rsidR="005B7F18" w:rsidRPr="00BA2049" w:rsidRDefault="005B7F18" w:rsidP="005B7F18">
      <w:pPr>
        <w:pStyle w:val="Heading3"/>
        <w:rPr>
          <w:sz w:val="30"/>
        </w:rPr>
      </w:pPr>
      <w:bookmarkStart w:id="19" w:name="_Toc161309291"/>
      <w:r w:rsidRPr="002F217F">
        <w:t>Breast reduction (bilateral/unilateral)</w:t>
      </w:r>
      <w:bookmarkEnd w:id="19"/>
    </w:p>
    <w:p w14:paraId="390C2755" w14:textId="77777777" w:rsidR="005B7F18" w:rsidRPr="000C1D3B" w:rsidRDefault="005B7F18" w:rsidP="005B7F18">
      <w:pPr>
        <w:pStyle w:val="Body"/>
      </w:pPr>
      <w:r w:rsidRPr="002F217F">
        <w:rPr>
          <w:lang w:eastAsia="en-AU"/>
        </w:rPr>
        <w:t xml:space="preserve">Significant </w:t>
      </w:r>
      <w:r w:rsidRPr="000C1D3B">
        <w:t>clinical symptoms are present (for example, intractable intertrigo and severe gynaecomastia) and body mass index is less than 30</w:t>
      </w:r>
      <w:r>
        <w:t>.</w:t>
      </w:r>
    </w:p>
    <w:p w14:paraId="224DA865" w14:textId="77777777" w:rsidR="005B7F18" w:rsidRPr="00BA2049" w:rsidRDefault="005B7F18" w:rsidP="005B7F18">
      <w:pPr>
        <w:pStyle w:val="Heading3"/>
        <w:rPr>
          <w:sz w:val="30"/>
        </w:rPr>
      </w:pPr>
      <w:bookmarkStart w:id="20" w:name="_Toc161309292"/>
      <w:r w:rsidRPr="002F217F">
        <w:t>Breast augmentation (bilateral/unilateral)</w:t>
      </w:r>
      <w:bookmarkEnd w:id="20"/>
    </w:p>
    <w:p w14:paraId="1841ED3B" w14:textId="77777777" w:rsidR="005B7F18" w:rsidRPr="002F217F" w:rsidRDefault="005B7F18" w:rsidP="005B7F18">
      <w:pPr>
        <w:pStyle w:val="Body"/>
        <w:rPr>
          <w:lang w:eastAsia="en-AU"/>
        </w:rPr>
      </w:pPr>
      <w:r w:rsidRPr="002F217F">
        <w:rPr>
          <w:lang w:eastAsia="en-AU"/>
        </w:rPr>
        <w:t>Post-mastectomy reconstruction</w:t>
      </w:r>
      <w:r>
        <w:rPr>
          <w:lang w:eastAsia="en-AU"/>
        </w:rPr>
        <w:t>.</w:t>
      </w:r>
    </w:p>
    <w:p w14:paraId="3436AF4D" w14:textId="77777777" w:rsidR="005B7F18" w:rsidRPr="002F217F" w:rsidRDefault="005B7F18" w:rsidP="005B7F18">
      <w:pPr>
        <w:pStyle w:val="Body"/>
        <w:rPr>
          <w:lang w:eastAsia="en-AU"/>
        </w:rPr>
      </w:pPr>
      <w:r>
        <w:rPr>
          <w:lang w:eastAsia="en-AU"/>
        </w:rPr>
        <w:t>Positive or negative</w:t>
      </w:r>
      <w:r w:rsidRPr="002F217F">
        <w:rPr>
          <w:lang w:eastAsia="en-AU"/>
        </w:rPr>
        <w:t xml:space="preserve"> augmentation for contralateral breast Poland syndrome</w:t>
      </w:r>
      <w:r>
        <w:rPr>
          <w:lang w:eastAsia="en-AU"/>
        </w:rPr>
        <w:t>.</w:t>
      </w:r>
    </w:p>
    <w:p w14:paraId="30EFDFA9" w14:textId="77777777" w:rsidR="005B7F18" w:rsidRPr="002F217F" w:rsidRDefault="005B7F18" w:rsidP="005B7F18">
      <w:pPr>
        <w:pStyle w:val="Body"/>
        <w:rPr>
          <w:b/>
          <w:lang w:eastAsia="en-AU"/>
        </w:rPr>
      </w:pPr>
      <w:r w:rsidRPr="002F217F">
        <w:rPr>
          <w:lang w:eastAsia="en-AU"/>
        </w:rPr>
        <w:t>Significant deformity, with surgery indicated due to disease, trauma or congenital conditions</w:t>
      </w:r>
      <w:r>
        <w:rPr>
          <w:lang w:eastAsia="en-AU"/>
        </w:rPr>
        <w:t>.</w:t>
      </w:r>
    </w:p>
    <w:p w14:paraId="7D642331" w14:textId="77777777" w:rsidR="005B7F18" w:rsidRPr="00BA2049" w:rsidRDefault="005B7F18" w:rsidP="005B7F18">
      <w:pPr>
        <w:pStyle w:val="Heading3"/>
        <w:rPr>
          <w:sz w:val="30"/>
        </w:rPr>
      </w:pPr>
      <w:bookmarkStart w:id="21" w:name="_Toc161309293"/>
      <w:r w:rsidRPr="002F217F">
        <w:t>Mastopexy (breast lift)</w:t>
      </w:r>
      <w:bookmarkEnd w:id="21"/>
    </w:p>
    <w:p w14:paraId="05A715FA" w14:textId="77777777" w:rsidR="005B7F18" w:rsidRPr="002F217F" w:rsidRDefault="005B7F18" w:rsidP="005B7F18">
      <w:pPr>
        <w:pStyle w:val="Body"/>
        <w:rPr>
          <w:lang w:eastAsia="en-AU"/>
        </w:rPr>
      </w:pPr>
      <w:r w:rsidRPr="002F217F">
        <w:rPr>
          <w:lang w:eastAsia="en-AU"/>
        </w:rPr>
        <w:t>Postmorbid obesity treatment where significant clinical symptoms are present</w:t>
      </w:r>
      <w:r>
        <w:rPr>
          <w:lang w:eastAsia="en-AU"/>
        </w:rPr>
        <w:t>,</w:t>
      </w:r>
      <w:r w:rsidRPr="002F217F">
        <w:rPr>
          <w:lang w:eastAsia="en-AU"/>
        </w:rPr>
        <w:t xml:space="preserve"> and BMI is less than 30</w:t>
      </w:r>
      <w:r>
        <w:rPr>
          <w:lang w:eastAsia="en-AU"/>
        </w:rPr>
        <w:t>.</w:t>
      </w:r>
    </w:p>
    <w:p w14:paraId="7602BF01" w14:textId="77777777" w:rsidR="005B7F18" w:rsidRPr="002F217F" w:rsidRDefault="005B7F18" w:rsidP="005B7F18">
      <w:pPr>
        <w:pStyle w:val="Body"/>
        <w:rPr>
          <w:lang w:eastAsia="en-AU"/>
        </w:rPr>
      </w:pPr>
      <w:r w:rsidRPr="002F217F">
        <w:rPr>
          <w:lang w:eastAsia="en-AU"/>
        </w:rPr>
        <w:t>Correction of significant breast asymmetry following breast reconstruction</w:t>
      </w:r>
      <w:r>
        <w:rPr>
          <w:lang w:eastAsia="en-AU"/>
        </w:rPr>
        <w:t>.</w:t>
      </w:r>
    </w:p>
    <w:p w14:paraId="6266897D" w14:textId="77777777" w:rsidR="005B7F18" w:rsidRPr="002F217F" w:rsidRDefault="005B7F18" w:rsidP="005B7F18">
      <w:pPr>
        <w:pStyle w:val="Body"/>
        <w:rPr>
          <w:b/>
          <w:lang w:eastAsia="en-AU"/>
        </w:rPr>
      </w:pPr>
      <w:r w:rsidRPr="002F217F">
        <w:rPr>
          <w:lang w:eastAsia="en-AU"/>
        </w:rPr>
        <w:t>Correction of asymmetry due to congenital or developmental condition</w:t>
      </w:r>
      <w:r>
        <w:rPr>
          <w:lang w:eastAsia="en-AU"/>
        </w:rPr>
        <w:t>.</w:t>
      </w:r>
    </w:p>
    <w:p w14:paraId="12B571A1" w14:textId="77777777" w:rsidR="005B7F18" w:rsidRPr="00BA2049" w:rsidRDefault="005B7F18" w:rsidP="005B7F18">
      <w:pPr>
        <w:pStyle w:val="Heading3"/>
        <w:rPr>
          <w:sz w:val="30"/>
        </w:rPr>
      </w:pPr>
      <w:bookmarkStart w:id="22" w:name="_Toc161309294"/>
      <w:r w:rsidRPr="002F217F">
        <w:t>Revision of breast augmentation</w:t>
      </w:r>
      <w:bookmarkEnd w:id="22"/>
    </w:p>
    <w:p w14:paraId="55D4F292" w14:textId="77777777" w:rsidR="005B7F18" w:rsidRPr="002F217F" w:rsidRDefault="005B7F18" w:rsidP="005B7F18">
      <w:pPr>
        <w:pStyle w:val="Body"/>
        <w:rPr>
          <w:b/>
          <w:lang w:eastAsia="en-AU"/>
        </w:rPr>
      </w:pPr>
      <w:r w:rsidRPr="002F217F">
        <w:rPr>
          <w:lang w:eastAsia="en-AU"/>
        </w:rPr>
        <w:t>As part of treatment for breast cancer and reconstruction following trauma, disease, congenital conditions or infection, not because of previous cosmetic surgery</w:t>
      </w:r>
      <w:r>
        <w:rPr>
          <w:lang w:eastAsia="en-AU"/>
        </w:rPr>
        <w:t>.</w:t>
      </w:r>
    </w:p>
    <w:p w14:paraId="656AB702" w14:textId="77777777" w:rsidR="005B7F18" w:rsidRPr="00BA2049" w:rsidRDefault="005B7F18" w:rsidP="005B7F18">
      <w:pPr>
        <w:pStyle w:val="Heading3"/>
        <w:rPr>
          <w:sz w:val="30"/>
        </w:rPr>
      </w:pPr>
      <w:bookmarkStart w:id="23" w:name="_Toc161309295"/>
      <w:r w:rsidRPr="002F217F">
        <w:t>Removal of breast p</w:t>
      </w:r>
      <w:r w:rsidRPr="00B84CEF">
        <w:t>rosthes</w:t>
      </w:r>
      <w:r w:rsidRPr="00B84CEF">
        <w:rPr>
          <w:rFonts w:eastAsia="Calibri" w:cs="Arial"/>
          <w:szCs w:val="21"/>
        </w:rPr>
        <w:t>is</w:t>
      </w:r>
      <w:bookmarkEnd w:id="23"/>
    </w:p>
    <w:p w14:paraId="49FBBE1D" w14:textId="77777777" w:rsidR="005B7F18" w:rsidRPr="002F217F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>Following rupture, erosion or infection of breast prosthesis</w:t>
      </w:r>
      <w:r>
        <w:rPr>
          <w:lang w:eastAsia="en-AU"/>
        </w:rPr>
        <w:t>.</w:t>
      </w:r>
    </w:p>
    <w:p w14:paraId="59B93813" w14:textId="77777777" w:rsidR="005B7F18" w:rsidRPr="00BA2049" w:rsidRDefault="005B7F18" w:rsidP="005B7F18">
      <w:pPr>
        <w:pStyle w:val="Heading3"/>
        <w:rPr>
          <w:sz w:val="30"/>
        </w:rPr>
      </w:pPr>
      <w:bookmarkStart w:id="24" w:name="_Toc161309296"/>
      <w:r w:rsidRPr="002F217F">
        <w:t>Nipple and/or areola reconstruction</w:t>
      </w:r>
      <w:bookmarkEnd w:id="24"/>
    </w:p>
    <w:p w14:paraId="31A90D11" w14:textId="77777777" w:rsidR="005B7F18" w:rsidRPr="002F217F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>When performed as part of a breast reconstruction due to disease or trauma but not as the result of previous cosmetic surgery</w:t>
      </w:r>
      <w:r>
        <w:rPr>
          <w:lang w:eastAsia="en-AU"/>
        </w:rPr>
        <w:t>.</w:t>
      </w:r>
    </w:p>
    <w:p w14:paraId="3D6708B0" w14:textId="77777777" w:rsidR="005B7F18" w:rsidRPr="00BA2049" w:rsidRDefault="005B7F18" w:rsidP="005B7F18">
      <w:pPr>
        <w:pStyle w:val="Heading3"/>
        <w:rPr>
          <w:sz w:val="30"/>
        </w:rPr>
      </w:pPr>
      <w:bookmarkStart w:id="25" w:name="_Toc161309297"/>
      <w:r w:rsidRPr="002F217F">
        <w:t xml:space="preserve">Nipple eversion (for </w:t>
      </w:r>
      <w:r w:rsidRPr="00530A5B">
        <w:t>nipple in</w:t>
      </w:r>
      <w:r w:rsidRPr="00821004">
        <w:rPr>
          <w:rFonts w:eastAsia="Calibri" w:cs="Arial"/>
          <w:szCs w:val="21"/>
        </w:rPr>
        <w:t>version)</w:t>
      </w:r>
      <w:bookmarkEnd w:id="25"/>
    </w:p>
    <w:p w14:paraId="34C514AA" w14:textId="77777777" w:rsidR="005B7F18" w:rsidRPr="002F217F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>Recurrent infection or ulcerative complications</w:t>
      </w:r>
      <w:r>
        <w:rPr>
          <w:lang w:eastAsia="en-AU"/>
        </w:rPr>
        <w:t>.</w:t>
      </w:r>
    </w:p>
    <w:p w14:paraId="07B6979A" w14:textId="77777777" w:rsidR="005B7F18" w:rsidRPr="00F21B06" w:rsidRDefault="005B7F18" w:rsidP="005B7F18">
      <w:pPr>
        <w:pStyle w:val="Heading2"/>
      </w:pPr>
      <w:bookmarkStart w:id="26" w:name="_Toc148078076"/>
      <w:bookmarkStart w:id="27" w:name="_Toc157000190"/>
      <w:bookmarkStart w:id="28" w:name="_Toc157514080"/>
      <w:bookmarkStart w:id="29" w:name="_Toc157514155"/>
      <w:bookmarkStart w:id="30" w:name="_Toc157589739"/>
      <w:bookmarkStart w:id="31" w:name="_Toc161309298"/>
      <w:r>
        <w:t>Trunk/limb procedures</w:t>
      </w:r>
      <w:bookmarkEnd w:id="26"/>
      <w:bookmarkEnd w:id="27"/>
      <w:bookmarkEnd w:id="28"/>
      <w:bookmarkEnd w:id="29"/>
      <w:bookmarkEnd w:id="30"/>
      <w:bookmarkEnd w:id="31"/>
    </w:p>
    <w:p w14:paraId="02E29A42" w14:textId="77777777" w:rsidR="005B7F18" w:rsidRPr="00BA2049" w:rsidRDefault="005B7F18" w:rsidP="005B7F18">
      <w:pPr>
        <w:pStyle w:val="Heading3"/>
        <w:rPr>
          <w:sz w:val="30"/>
        </w:rPr>
      </w:pPr>
      <w:bookmarkStart w:id="32" w:name="_Toc161309299"/>
      <w:r w:rsidRPr="00EC09BB">
        <w:t xml:space="preserve">Abdominoplasty, </w:t>
      </w:r>
      <w:proofErr w:type="spellStart"/>
      <w:r w:rsidRPr="00EC09BB">
        <w:t>apronectomy</w:t>
      </w:r>
      <w:proofErr w:type="spellEnd"/>
      <w:r w:rsidRPr="00EC09BB">
        <w:t>, abdominal lipectomy</w:t>
      </w:r>
      <w:bookmarkEnd w:id="32"/>
    </w:p>
    <w:p w14:paraId="4A448901" w14:textId="77777777" w:rsidR="005B7F18" w:rsidRPr="002F217F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 xml:space="preserve">Postmorbid obesity treatment where significant clinical symptoms are present (for example, intractable intertrigo) and </w:t>
      </w:r>
      <w:r w:rsidRPr="000C1D3B">
        <w:t xml:space="preserve">body mass index </w:t>
      </w:r>
      <w:r w:rsidRPr="002F217F">
        <w:rPr>
          <w:lang w:eastAsia="en-AU"/>
        </w:rPr>
        <w:t>is less than 30</w:t>
      </w:r>
      <w:r>
        <w:rPr>
          <w:lang w:eastAsia="en-AU"/>
        </w:rPr>
        <w:t>.</w:t>
      </w:r>
    </w:p>
    <w:p w14:paraId="4248B997" w14:textId="77777777" w:rsidR="005B7F18" w:rsidRPr="00BA2049" w:rsidRDefault="005B7F18" w:rsidP="005B7F18">
      <w:pPr>
        <w:pStyle w:val="Heading3"/>
        <w:rPr>
          <w:sz w:val="30"/>
        </w:rPr>
      </w:pPr>
      <w:bookmarkStart w:id="33" w:name="_Toc161309300"/>
      <w:r w:rsidRPr="002F217F">
        <w:t>Varicose vein procedures</w:t>
      </w:r>
      <w:bookmarkEnd w:id="33"/>
    </w:p>
    <w:p w14:paraId="7B04B89C" w14:textId="77777777" w:rsidR="005B7F18" w:rsidRPr="002F217F" w:rsidRDefault="005B7F18" w:rsidP="005B7F18">
      <w:pPr>
        <w:pStyle w:val="Body"/>
        <w:rPr>
          <w:lang w:eastAsia="en-AU"/>
        </w:rPr>
      </w:pPr>
      <w:r w:rsidRPr="002F217F">
        <w:rPr>
          <w:lang w:eastAsia="en-AU"/>
        </w:rPr>
        <w:t>Venous conditions with the following symptoms</w:t>
      </w:r>
      <w:r>
        <w:rPr>
          <w:lang w:eastAsia="en-AU"/>
        </w:rPr>
        <w:t>:</w:t>
      </w:r>
    </w:p>
    <w:p w14:paraId="7F2B21F1" w14:textId="77777777" w:rsidR="005B7F18" w:rsidRPr="002F217F" w:rsidRDefault="005B7F18" w:rsidP="005B7F18">
      <w:pPr>
        <w:pStyle w:val="Bullet1"/>
      </w:pPr>
      <w:r w:rsidRPr="002F217F">
        <w:t>chronic leg swelling/oedema</w:t>
      </w:r>
    </w:p>
    <w:p w14:paraId="34C222B2" w14:textId="77777777" w:rsidR="005B7F18" w:rsidRPr="002F217F" w:rsidRDefault="005B7F18" w:rsidP="005B7F18">
      <w:pPr>
        <w:pStyle w:val="Bullet1"/>
      </w:pPr>
      <w:r w:rsidRPr="002F217F">
        <w:lastRenderedPageBreak/>
        <w:t>chronic dermatitis/eczema</w:t>
      </w:r>
    </w:p>
    <w:p w14:paraId="16B9E228" w14:textId="77777777" w:rsidR="005B7F18" w:rsidRPr="002F217F" w:rsidRDefault="005B7F18" w:rsidP="005B7F18">
      <w:pPr>
        <w:pStyle w:val="Bullet1"/>
      </w:pPr>
      <w:r w:rsidRPr="002F217F">
        <w:t>bleeding</w:t>
      </w:r>
    </w:p>
    <w:p w14:paraId="7425C3B0" w14:textId="77777777" w:rsidR="005B7F18" w:rsidRPr="002F217F" w:rsidRDefault="005B7F18" w:rsidP="005B7F18">
      <w:pPr>
        <w:pStyle w:val="Bullet1"/>
      </w:pPr>
      <w:r w:rsidRPr="002F217F">
        <w:t>leg ulcers or infections</w:t>
      </w:r>
    </w:p>
    <w:p w14:paraId="67D128C0" w14:textId="77777777" w:rsidR="005B7F18" w:rsidRPr="002F217F" w:rsidRDefault="005B7F18" w:rsidP="005B7F18">
      <w:pPr>
        <w:pStyle w:val="Bullet1"/>
      </w:pPr>
      <w:r w:rsidRPr="002F217F">
        <w:t>superficial thrombophlebitis</w:t>
      </w:r>
    </w:p>
    <w:p w14:paraId="5E154AA7" w14:textId="77777777" w:rsidR="005B7F18" w:rsidRDefault="005B7F18" w:rsidP="005B7F18">
      <w:pPr>
        <w:pStyle w:val="Bullet1"/>
      </w:pPr>
      <w:r>
        <w:t>v</w:t>
      </w:r>
      <w:r w:rsidRPr="002F217F">
        <w:t>enous disorders in patients less than 16 years old</w:t>
      </w:r>
      <w:r>
        <w:t>.</w:t>
      </w:r>
    </w:p>
    <w:p w14:paraId="71DDE100" w14:textId="77777777" w:rsidR="005B7F18" w:rsidRPr="00C65F42" w:rsidRDefault="005B7F18" w:rsidP="005B7F18">
      <w:pPr>
        <w:pStyle w:val="Bodyafterbullets"/>
        <w:rPr>
          <w:rFonts w:cs="Arial"/>
          <w:szCs w:val="21"/>
          <w:lang w:eastAsia="en-AU"/>
        </w:rPr>
      </w:pPr>
      <w:r w:rsidRPr="002F217F">
        <w:rPr>
          <w:lang w:eastAsia="en-AU"/>
        </w:rPr>
        <w:t xml:space="preserve">Excluded as indications </w:t>
      </w:r>
      <w:r w:rsidRPr="00BA2049">
        <w:t>for</w:t>
      </w:r>
      <w:r w:rsidRPr="002F217F">
        <w:rPr>
          <w:lang w:eastAsia="en-AU"/>
        </w:rPr>
        <w:t xml:space="preserve"> surgery</w:t>
      </w:r>
      <w:r>
        <w:rPr>
          <w:lang w:eastAsia="en-AU"/>
        </w:rPr>
        <w:t>:</w:t>
      </w:r>
    </w:p>
    <w:p w14:paraId="680DB243" w14:textId="77777777" w:rsidR="005B7F18" w:rsidRPr="002F217F" w:rsidRDefault="005B7F18" w:rsidP="005B7F18">
      <w:pPr>
        <w:pStyle w:val="Bullet1"/>
      </w:pPr>
      <w:r w:rsidRPr="002F217F">
        <w:t>venous conditions that are likely to lead to the conditions listed above</w:t>
      </w:r>
    </w:p>
    <w:p w14:paraId="707C9884" w14:textId="77777777" w:rsidR="005B7F18" w:rsidRPr="002F217F" w:rsidRDefault="005B7F18" w:rsidP="005B7F18">
      <w:pPr>
        <w:pStyle w:val="Bullet1"/>
      </w:pPr>
      <w:r w:rsidRPr="002F217F">
        <w:t>cosmetic veins in patients older than 16 years old</w:t>
      </w:r>
    </w:p>
    <w:p w14:paraId="76F3FA88" w14:textId="77777777" w:rsidR="005B7F18" w:rsidRPr="002F217F" w:rsidRDefault="005B7F18" w:rsidP="005B7F18">
      <w:pPr>
        <w:pStyle w:val="Bullet1"/>
      </w:pPr>
      <w:r w:rsidRPr="002F217F">
        <w:t>spider veins in patients older than 16 years old</w:t>
      </w:r>
      <w:r>
        <w:t>.</w:t>
      </w:r>
    </w:p>
    <w:p w14:paraId="08DF39E8" w14:textId="77777777" w:rsidR="005B7F18" w:rsidRPr="00B84CEF" w:rsidRDefault="005B7F18" w:rsidP="005B7F18">
      <w:pPr>
        <w:pStyle w:val="Heading3"/>
        <w:rPr>
          <w:rFonts w:eastAsia="Calibri" w:cs="Arial"/>
          <w:szCs w:val="21"/>
        </w:rPr>
      </w:pPr>
      <w:bookmarkStart w:id="34" w:name="_Toc161309301"/>
      <w:r w:rsidRPr="002F217F">
        <w:t xml:space="preserve">Other skin excisions for body </w:t>
      </w:r>
      <w:r w:rsidRPr="00B84CEF">
        <w:t>contour (for ex</w:t>
      </w:r>
      <w:r w:rsidRPr="00B84CEF">
        <w:rPr>
          <w:rFonts w:eastAsia="Calibri" w:cs="Arial"/>
          <w:szCs w:val="21"/>
        </w:rPr>
        <w:t>ample, buttock, thigh or arm lift)</w:t>
      </w:r>
      <w:bookmarkEnd w:id="34"/>
    </w:p>
    <w:p w14:paraId="76BD2E8D" w14:textId="77777777" w:rsidR="005B7F18" w:rsidRPr="002F217F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 xml:space="preserve">Postmorbid obesity treatment where significant symptoms are present (for example, intractable intertrigo) and </w:t>
      </w:r>
      <w:r w:rsidRPr="000C1D3B">
        <w:t xml:space="preserve">body mass index </w:t>
      </w:r>
      <w:r w:rsidRPr="002F217F">
        <w:rPr>
          <w:lang w:eastAsia="en-AU"/>
        </w:rPr>
        <w:t>is less than 30</w:t>
      </w:r>
      <w:r>
        <w:rPr>
          <w:lang w:eastAsia="en-AU"/>
        </w:rPr>
        <w:t>.</w:t>
      </w:r>
    </w:p>
    <w:p w14:paraId="52AFDD0B" w14:textId="77777777" w:rsidR="005B7F18" w:rsidRPr="00BA2049" w:rsidRDefault="005B7F18" w:rsidP="005B7F18">
      <w:pPr>
        <w:pStyle w:val="Heading3"/>
        <w:rPr>
          <w:sz w:val="30"/>
        </w:rPr>
      </w:pPr>
      <w:bookmarkStart w:id="35" w:name="_Toc161309302"/>
      <w:r w:rsidRPr="002F217F">
        <w:t>Liposuction</w:t>
      </w:r>
      <w:bookmarkEnd w:id="35"/>
    </w:p>
    <w:p w14:paraId="3FBFD8B8" w14:textId="77777777" w:rsidR="005B7F18" w:rsidRPr="002F217F" w:rsidRDefault="005B7F18" w:rsidP="005B7F18">
      <w:pPr>
        <w:pStyle w:val="Body"/>
        <w:rPr>
          <w:lang w:eastAsia="en-AU"/>
        </w:rPr>
      </w:pPr>
      <w:r w:rsidRPr="002F217F">
        <w:rPr>
          <w:lang w:eastAsia="en-AU"/>
        </w:rPr>
        <w:t xml:space="preserve">Post-traumatic </w:t>
      </w:r>
      <w:proofErr w:type="spellStart"/>
      <w:r w:rsidRPr="002F217F">
        <w:rPr>
          <w:lang w:eastAsia="en-AU"/>
        </w:rPr>
        <w:t>pseudolipoma</w:t>
      </w:r>
      <w:proofErr w:type="spellEnd"/>
      <w:r>
        <w:rPr>
          <w:lang w:eastAsia="en-AU"/>
        </w:rPr>
        <w:t>.</w:t>
      </w:r>
    </w:p>
    <w:p w14:paraId="3DE9EFFF" w14:textId="77777777" w:rsidR="005B7F18" w:rsidRPr="002F217F" w:rsidRDefault="005B7F18" w:rsidP="005B7F18">
      <w:pPr>
        <w:pStyle w:val="Body"/>
        <w:rPr>
          <w:lang w:eastAsia="en-AU"/>
        </w:rPr>
      </w:pPr>
      <w:proofErr w:type="spellStart"/>
      <w:r w:rsidRPr="002F217F">
        <w:rPr>
          <w:lang w:eastAsia="en-AU"/>
        </w:rPr>
        <w:t>Lipodystophy</w:t>
      </w:r>
      <w:proofErr w:type="spellEnd"/>
      <w:r>
        <w:rPr>
          <w:lang w:eastAsia="en-AU"/>
        </w:rPr>
        <w:t>.</w:t>
      </w:r>
    </w:p>
    <w:p w14:paraId="52A8EBB8" w14:textId="77777777" w:rsidR="005B7F18" w:rsidRPr="002F217F" w:rsidRDefault="005B7F18" w:rsidP="005B7F18">
      <w:pPr>
        <w:pStyle w:val="Body"/>
        <w:rPr>
          <w:lang w:eastAsia="en-AU"/>
        </w:rPr>
      </w:pPr>
      <w:r w:rsidRPr="002F217F">
        <w:rPr>
          <w:lang w:eastAsia="en-AU"/>
        </w:rPr>
        <w:t>Gynaecomastia</w:t>
      </w:r>
      <w:r>
        <w:rPr>
          <w:lang w:eastAsia="en-AU"/>
        </w:rPr>
        <w:t>.</w:t>
      </w:r>
    </w:p>
    <w:p w14:paraId="3567C2C4" w14:textId="77777777" w:rsidR="005B7F18" w:rsidRPr="002F217F" w:rsidRDefault="005B7F18" w:rsidP="005B7F18">
      <w:pPr>
        <w:pStyle w:val="Body"/>
        <w:rPr>
          <w:b/>
          <w:bCs/>
          <w:lang w:eastAsia="en-AU"/>
        </w:rPr>
      </w:pPr>
      <w:r w:rsidRPr="002F217F">
        <w:rPr>
          <w:lang w:eastAsia="en-AU"/>
        </w:rPr>
        <w:t>Flap reduction</w:t>
      </w:r>
      <w:r>
        <w:rPr>
          <w:lang w:eastAsia="en-AU"/>
        </w:rPr>
        <w:t>.</w:t>
      </w:r>
    </w:p>
    <w:p w14:paraId="68A7B9A2" w14:textId="77777777" w:rsidR="005B7F18" w:rsidRPr="002B2CC6" w:rsidRDefault="005B7F18" w:rsidP="005B7F18">
      <w:pPr>
        <w:pStyle w:val="Heading2"/>
      </w:pPr>
      <w:bookmarkStart w:id="36" w:name="_Toc148078077"/>
      <w:bookmarkStart w:id="37" w:name="_Toc157000191"/>
      <w:bookmarkStart w:id="38" w:name="_Toc157514081"/>
      <w:bookmarkStart w:id="39" w:name="_Toc157514156"/>
      <w:bookmarkStart w:id="40" w:name="_Toc157589740"/>
      <w:bookmarkStart w:id="41" w:name="_Toc161309303"/>
      <w:r w:rsidRPr="002B2CC6">
        <w:t xml:space="preserve">Genitourinary </w:t>
      </w:r>
      <w:r w:rsidRPr="00F21B06">
        <w:t>procedures</w:t>
      </w:r>
      <w:bookmarkEnd w:id="36"/>
      <w:bookmarkEnd w:id="37"/>
      <w:bookmarkEnd w:id="38"/>
      <w:bookmarkEnd w:id="39"/>
      <w:bookmarkEnd w:id="40"/>
      <w:bookmarkEnd w:id="41"/>
      <w:r w:rsidRPr="002B2CC6">
        <w:t xml:space="preserve"> </w:t>
      </w:r>
    </w:p>
    <w:p w14:paraId="0589734B" w14:textId="77777777" w:rsidR="005B7F18" w:rsidRPr="00F21B06" w:rsidRDefault="005B7F18" w:rsidP="005B7F18">
      <w:pPr>
        <w:pStyle w:val="Heading3"/>
      </w:pPr>
      <w:bookmarkStart w:id="42" w:name="_Toc161309304"/>
      <w:r w:rsidRPr="002F217F">
        <w:t>Genital surgery aimed at improving appearance</w:t>
      </w:r>
      <w:bookmarkEnd w:id="42"/>
    </w:p>
    <w:p w14:paraId="0518A5E5" w14:textId="77777777" w:rsidR="005B7F18" w:rsidRPr="002F217F" w:rsidRDefault="005B7F18" w:rsidP="005B7F18">
      <w:pPr>
        <w:pStyle w:val="Body"/>
        <w:rPr>
          <w:rFonts w:eastAsia="Arial"/>
          <w:b/>
          <w:lang w:eastAsia="en-AU"/>
        </w:rPr>
      </w:pPr>
      <w:r w:rsidRPr="002F217F">
        <w:rPr>
          <w:lang w:eastAsia="en-AU"/>
        </w:rPr>
        <w:t>Patients requiring surgery for congenital abnormalities</w:t>
      </w:r>
      <w:r>
        <w:rPr>
          <w:lang w:eastAsia="en-AU"/>
        </w:rPr>
        <w:t>.</w:t>
      </w:r>
    </w:p>
    <w:p w14:paraId="1DA0E4A9" w14:textId="77777777" w:rsidR="005B7F18" w:rsidRPr="00BA2049" w:rsidRDefault="005B7F18" w:rsidP="005B7F18">
      <w:pPr>
        <w:pStyle w:val="Heading3"/>
        <w:rPr>
          <w:sz w:val="30"/>
        </w:rPr>
      </w:pPr>
      <w:bookmarkStart w:id="43" w:name="_Toc161309305"/>
      <w:r w:rsidRPr="002F217F">
        <w:t>Insertion of artificial erection devices</w:t>
      </w:r>
      <w:bookmarkEnd w:id="43"/>
    </w:p>
    <w:p w14:paraId="4070F026" w14:textId="77777777" w:rsidR="005B7F18" w:rsidRPr="002F217F" w:rsidRDefault="005B7F18" w:rsidP="005B7F18">
      <w:pPr>
        <w:pStyle w:val="Body"/>
        <w:rPr>
          <w:lang w:eastAsia="en-AU"/>
        </w:rPr>
      </w:pPr>
      <w:r w:rsidRPr="002F217F">
        <w:rPr>
          <w:lang w:eastAsia="en-AU"/>
        </w:rPr>
        <w:t>Spinal patients with neurological erectile dysfunction</w:t>
      </w:r>
      <w:r>
        <w:rPr>
          <w:lang w:eastAsia="en-AU"/>
        </w:rPr>
        <w:t>.</w:t>
      </w:r>
    </w:p>
    <w:p w14:paraId="47B9C9F4" w14:textId="77777777" w:rsidR="005B7F18" w:rsidRPr="002F217F" w:rsidRDefault="005B7F18" w:rsidP="005B7F18">
      <w:pPr>
        <w:pStyle w:val="Body"/>
        <w:rPr>
          <w:rFonts w:eastAsia="Arial"/>
          <w:b/>
          <w:bCs/>
          <w:lang w:eastAsia="en-AU"/>
        </w:rPr>
      </w:pPr>
      <w:r w:rsidRPr="002F217F">
        <w:rPr>
          <w:lang w:eastAsia="en-AU"/>
        </w:rPr>
        <w:t>Surgery for trauma, disease or infection or as part of a penile reconstructions for congenital abnormalities</w:t>
      </w:r>
      <w:r>
        <w:rPr>
          <w:lang w:eastAsia="en-AU"/>
        </w:rPr>
        <w:t>.</w:t>
      </w:r>
    </w:p>
    <w:p w14:paraId="3D8581EA" w14:textId="77777777" w:rsidR="005B7F18" w:rsidRPr="00BA2049" w:rsidRDefault="005B7F18" w:rsidP="005B7F18">
      <w:pPr>
        <w:pStyle w:val="Heading3"/>
        <w:rPr>
          <w:sz w:val="30"/>
        </w:rPr>
      </w:pPr>
      <w:bookmarkStart w:id="44" w:name="_Toc161309306"/>
      <w:r w:rsidRPr="002F217F">
        <w:t>Testicular prosthesis</w:t>
      </w:r>
      <w:bookmarkEnd w:id="44"/>
    </w:p>
    <w:p w14:paraId="45D5B38B" w14:textId="77777777" w:rsidR="005B7F18" w:rsidRPr="002F217F" w:rsidRDefault="005B7F18" w:rsidP="005B7F18">
      <w:pPr>
        <w:pStyle w:val="Body"/>
        <w:rPr>
          <w:rFonts w:eastAsia="Arial"/>
          <w:b/>
          <w:bCs/>
          <w:lang w:eastAsia="en-AU"/>
        </w:rPr>
      </w:pPr>
      <w:r w:rsidRPr="002F217F">
        <w:rPr>
          <w:lang w:eastAsia="en-AU"/>
        </w:rPr>
        <w:t>Disease, trauma or congenital conditions (for example, following orchidectomy for malignant disease or torsion testes)</w:t>
      </w:r>
      <w:r>
        <w:rPr>
          <w:lang w:eastAsia="en-AU"/>
        </w:rPr>
        <w:t>.</w:t>
      </w:r>
    </w:p>
    <w:p w14:paraId="3255A48D" w14:textId="77777777" w:rsidR="005B7F18" w:rsidRPr="00BA2049" w:rsidRDefault="005B7F18" w:rsidP="005B7F18">
      <w:pPr>
        <w:pStyle w:val="Heading3"/>
        <w:rPr>
          <w:sz w:val="30"/>
        </w:rPr>
      </w:pPr>
      <w:bookmarkStart w:id="45" w:name="_Toc161309307"/>
      <w:r w:rsidRPr="002F217F">
        <w:t>Lengthening of penis</w:t>
      </w:r>
      <w:bookmarkEnd w:id="45"/>
    </w:p>
    <w:p w14:paraId="1A9692E3" w14:textId="77777777" w:rsidR="005B7F18" w:rsidRPr="002F217F" w:rsidRDefault="005B7F18" w:rsidP="005B7F18">
      <w:pPr>
        <w:pStyle w:val="Body"/>
        <w:rPr>
          <w:rFonts w:eastAsia="Arial"/>
          <w:b/>
          <w:bCs/>
          <w:lang w:eastAsia="en-AU"/>
        </w:rPr>
      </w:pPr>
      <w:r w:rsidRPr="002F217F">
        <w:rPr>
          <w:lang w:eastAsia="en-AU"/>
        </w:rPr>
        <w:t>Congenital abnormalities in patients less than 16 years old (for example, severe chordee)</w:t>
      </w:r>
      <w:r>
        <w:rPr>
          <w:lang w:eastAsia="en-AU"/>
        </w:rPr>
        <w:t>.</w:t>
      </w:r>
    </w:p>
    <w:p w14:paraId="1D8DC3E4" w14:textId="77777777" w:rsidR="005B7F18" w:rsidRPr="00BA2049" w:rsidRDefault="005B7F18" w:rsidP="005B7F18">
      <w:pPr>
        <w:pStyle w:val="Heading3"/>
        <w:rPr>
          <w:sz w:val="30"/>
        </w:rPr>
      </w:pPr>
      <w:bookmarkStart w:id="46" w:name="_Toc161309308"/>
      <w:r w:rsidRPr="002F217F">
        <w:t>Reversal of sterilisation</w:t>
      </w:r>
      <w:bookmarkEnd w:id="46"/>
    </w:p>
    <w:p w14:paraId="62A0C8DC" w14:textId="77777777" w:rsidR="005B7F18" w:rsidRPr="002F217F" w:rsidRDefault="005B7F18" w:rsidP="005B7F18">
      <w:pPr>
        <w:pStyle w:val="Body"/>
        <w:rPr>
          <w:rFonts w:eastAsia="Arial"/>
          <w:b/>
          <w:bCs/>
          <w:lang w:eastAsia="en-AU"/>
        </w:rPr>
      </w:pPr>
      <w:r w:rsidRPr="002F217F">
        <w:rPr>
          <w:lang w:eastAsia="en-AU"/>
        </w:rPr>
        <w:t>No medical indications</w:t>
      </w:r>
      <w:r>
        <w:rPr>
          <w:lang w:eastAsia="en-AU"/>
        </w:rPr>
        <w:t>.</w:t>
      </w:r>
    </w:p>
    <w:p w14:paraId="4D468141" w14:textId="77777777" w:rsidR="005B7F18" w:rsidRPr="00BA2049" w:rsidRDefault="005B7F18" w:rsidP="005B7F18">
      <w:pPr>
        <w:pStyle w:val="Heading3"/>
        <w:rPr>
          <w:sz w:val="30"/>
        </w:rPr>
      </w:pPr>
      <w:bookmarkStart w:id="47" w:name="_Toc161309309"/>
      <w:r w:rsidRPr="002F217F">
        <w:lastRenderedPageBreak/>
        <w:t>Circumcision</w:t>
      </w:r>
      <w:bookmarkEnd w:id="47"/>
    </w:p>
    <w:p w14:paraId="24D97295" w14:textId="77777777" w:rsidR="005B7F18" w:rsidRPr="002F217F" w:rsidRDefault="005B7F18" w:rsidP="005B7F18">
      <w:pPr>
        <w:pStyle w:val="Body"/>
        <w:rPr>
          <w:lang w:eastAsia="en-AU"/>
        </w:rPr>
      </w:pPr>
      <w:r w:rsidRPr="002F217F">
        <w:rPr>
          <w:lang w:eastAsia="en-AU"/>
        </w:rPr>
        <w:t>For medical indications only – for example, phimosis, recurrent balanoposthitis or paraphimosis</w:t>
      </w:r>
      <w:r>
        <w:rPr>
          <w:lang w:eastAsia="en-AU"/>
        </w:rPr>
        <w:t xml:space="preserve">. </w:t>
      </w:r>
      <w:r w:rsidRPr="002F217F">
        <w:rPr>
          <w:lang w:eastAsia="en-AU"/>
        </w:rPr>
        <w:t xml:space="preserve">Further information: </w:t>
      </w:r>
      <w:hyperlink r:id="rId18" w:history="1">
        <w:r w:rsidRPr="00307162">
          <w:rPr>
            <w:rStyle w:val="Hyperlink"/>
            <w:lang w:eastAsia="en-AU"/>
          </w:rPr>
          <w:t>Guidelines for male circumcision in the Victorian public health system – information for health professionals</w:t>
        </w:r>
      </w:hyperlink>
      <w:r w:rsidRPr="002F217F">
        <w:rPr>
          <w:lang w:eastAsia="en-AU"/>
        </w:rPr>
        <w:t xml:space="preserve"> </w:t>
      </w:r>
      <w:r>
        <w:rPr>
          <w:rStyle w:val="FootnoteReference"/>
          <w:lang w:eastAsia="en-AU"/>
        </w:rPr>
        <w:footnoteReference w:id="2"/>
      </w:r>
    </w:p>
    <w:p w14:paraId="450D7B0C" w14:textId="77777777" w:rsidR="005B7F18" w:rsidRPr="00F21B06" w:rsidRDefault="005B7F18" w:rsidP="005B7F18">
      <w:pPr>
        <w:pStyle w:val="Heading2"/>
      </w:pPr>
      <w:bookmarkStart w:id="48" w:name="_Toc148078078"/>
      <w:bookmarkStart w:id="49" w:name="_Toc157000192"/>
      <w:bookmarkStart w:id="50" w:name="_Toc157514082"/>
      <w:bookmarkStart w:id="51" w:name="_Toc157514157"/>
      <w:bookmarkStart w:id="52" w:name="_Toc157589741"/>
      <w:bookmarkStart w:id="53" w:name="_Toc161309310"/>
      <w:r>
        <w:t>Other aesthetic pr</w:t>
      </w:r>
      <w:r w:rsidRPr="2043592E">
        <w:rPr>
          <w:szCs w:val="32"/>
        </w:rPr>
        <w:t>ocedures</w:t>
      </w:r>
      <w:bookmarkEnd w:id="48"/>
      <w:bookmarkEnd w:id="49"/>
      <w:bookmarkEnd w:id="50"/>
      <w:bookmarkEnd w:id="51"/>
      <w:bookmarkEnd w:id="52"/>
      <w:bookmarkEnd w:id="53"/>
      <w:r w:rsidRPr="2043592E">
        <w:rPr>
          <w:rFonts w:cs="Arial"/>
        </w:rPr>
        <w:t xml:space="preserve"> </w:t>
      </w:r>
    </w:p>
    <w:p w14:paraId="313648B0" w14:textId="77777777" w:rsidR="005B7F18" w:rsidRPr="00206252" w:rsidRDefault="005B7F18" w:rsidP="005B7F18">
      <w:pPr>
        <w:pStyle w:val="Heading3"/>
        <w:rPr>
          <w:sz w:val="30"/>
        </w:rPr>
      </w:pPr>
      <w:bookmarkStart w:id="54" w:name="_Toc161309311"/>
      <w:r w:rsidRPr="002F217F">
        <w:t>Revision of scar</w:t>
      </w:r>
      <w:bookmarkEnd w:id="54"/>
    </w:p>
    <w:p w14:paraId="0A8F4CCD" w14:textId="77777777" w:rsidR="005B7F18" w:rsidRPr="002F217F" w:rsidRDefault="005B7F18" w:rsidP="005B7F18">
      <w:pPr>
        <w:pStyle w:val="Body"/>
        <w:rPr>
          <w:rFonts w:eastAsia="Arial"/>
          <w:b/>
          <w:bCs/>
          <w:lang w:eastAsia="en-AU"/>
        </w:rPr>
      </w:pPr>
      <w:r w:rsidRPr="002F217F">
        <w:rPr>
          <w:lang w:eastAsia="en-AU"/>
        </w:rPr>
        <w:t>Scar is disfiguring and extensive and is the result of surgery, disease or trauma but not the result for previous cosmetic surgery</w:t>
      </w:r>
      <w:r>
        <w:rPr>
          <w:lang w:eastAsia="en-AU"/>
        </w:rPr>
        <w:t>.</w:t>
      </w:r>
    </w:p>
    <w:p w14:paraId="3682052D" w14:textId="77777777" w:rsidR="005B7F18" w:rsidRPr="00206252" w:rsidRDefault="005B7F18" w:rsidP="005B7F18">
      <w:pPr>
        <w:pStyle w:val="Heading3"/>
        <w:rPr>
          <w:sz w:val="30"/>
        </w:rPr>
      </w:pPr>
      <w:bookmarkStart w:id="55" w:name="_Toc161309312"/>
      <w:r w:rsidRPr="002F217F">
        <w:t>Tattoo removal procedures</w:t>
      </w:r>
      <w:bookmarkEnd w:id="55"/>
    </w:p>
    <w:p w14:paraId="350D6BBC" w14:textId="77777777" w:rsidR="005B7F18" w:rsidRDefault="005B7F18" w:rsidP="005B7F18">
      <w:pPr>
        <w:pStyle w:val="Body"/>
        <w:rPr>
          <w:lang w:eastAsia="en-AU"/>
        </w:rPr>
      </w:pPr>
      <w:r w:rsidRPr="002F217F">
        <w:rPr>
          <w:lang w:eastAsia="en-AU"/>
        </w:rPr>
        <w:t>Patient is less than 16 years old</w:t>
      </w:r>
      <w:r>
        <w:rPr>
          <w:lang w:eastAsia="en-AU"/>
        </w:rPr>
        <w:t>.</w:t>
      </w:r>
    </w:p>
    <w:p w14:paraId="5872C207" w14:textId="77777777" w:rsidR="00162CA9" w:rsidRDefault="00162CA9" w:rsidP="00162CA9">
      <w:pPr>
        <w:pStyle w:val="Body"/>
      </w:pPr>
    </w:p>
    <w:sectPr w:rsidR="00162CA9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EA36" w14:textId="77777777" w:rsidR="00454829" w:rsidRDefault="00454829">
      <w:r>
        <w:separator/>
      </w:r>
    </w:p>
  </w:endnote>
  <w:endnote w:type="continuationSeparator" w:id="0">
    <w:p w14:paraId="11049AEA" w14:textId="77777777" w:rsidR="00454829" w:rsidRDefault="0045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978D" w14:textId="77777777" w:rsidR="009F0505" w:rsidRDefault="009F0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836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0651C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3DFC" w14:textId="77777777" w:rsidR="00454829" w:rsidRDefault="00454829" w:rsidP="002862F1">
      <w:pPr>
        <w:spacing w:before="120"/>
      </w:pPr>
      <w:r>
        <w:separator/>
      </w:r>
    </w:p>
  </w:footnote>
  <w:footnote w:type="continuationSeparator" w:id="0">
    <w:p w14:paraId="1F3A1554" w14:textId="77777777" w:rsidR="00454829" w:rsidRDefault="00454829">
      <w:r>
        <w:continuationSeparator/>
      </w:r>
    </w:p>
  </w:footnote>
  <w:footnote w:id="1">
    <w:p w14:paraId="5EEAE3B6" w14:textId="77777777" w:rsidR="005B7F18" w:rsidRDefault="005B7F18" w:rsidP="005B7F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"/>
          <w:szCs w:val="21"/>
        </w:rPr>
        <w:t>&lt;</w:t>
      </w:r>
      <w:r w:rsidRPr="00F526B1">
        <w:rPr>
          <w:rFonts w:eastAsia="Times"/>
          <w:szCs w:val="21"/>
        </w:rPr>
        <w:t>http://www.plasticsurgery.org/&gt;</w:t>
      </w:r>
    </w:p>
  </w:footnote>
  <w:footnote w:id="2">
    <w:p w14:paraId="742EA3D7" w14:textId="0ECBDE85" w:rsidR="005B7F18" w:rsidRDefault="005B7F18" w:rsidP="005B7F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217F">
        <w:rPr>
          <w:lang w:eastAsia="en-AU"/>
        </w:rPr>
        <w:t>&lt;https://www.health.vic.gov.au/about/publications/policiesandguidelines/Guidelines-for-male-circumcision-in-the-Victorian-public-hospital-system---information-for-health-professionals&gt;</w:t>
      </w:r>
      <w:r>
        <w:rPr>
          <w:lang w:eastAsia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4EC7" w14:textId="77777777" w:rsidR="009F0505" w:rsidRDefault="009F0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4E2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87A6" w14:textId="77777777" w:rsidR="009F0505" w:rsidRDefault="009F0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E652544"/>
    <w:multiLevelType w:val="hybridMultilevel"/>
    <w:tmpl w:val="FFFFFFFF"/>
    <w:styleLink w:val="ZZBullets11"/>
    <w:lvl w:ilvl="0" w:tplc="B8AE7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08FA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7CB5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AE57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481D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0DE3A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8ACA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1CEF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868E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415688">
    <w:abstractNumId w:val="10"/>
  </w:num>
  <w:num w:numId="2" w16cid:durableId="749040613">
    <w:abstractNumId w:val="17"/>
  </w:num>
  <w:num w:numId="3" w16cid:durableId="5338097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46668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27587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44694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7456878">
    <w:abstractNumId w:val="21"/>
  </w:num>
  <w:num w:numId="8" w16cid:durableId="213783899">
    <w:abstractNumId w:val="16"/>
  </w:num>
  <w:num w:numId="9" w16cid:durableId="1420560070">
    <w:abstractNumId w:val="20"/>
  </w:num>
  <w:num w:numId="10" w16cid:durableId="880635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8851046">
    <w:abstractNumId w:val="23"/>
  </w:num>
  <w:num w:numId="12" w16cid:durableId="15932033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3746179">
    <w:abstractNumId w:val="18"/>
  </w:num>
  <w:num w:numId="14" w16cid:durableId="16314016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12175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5333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7477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2822729">
    <w:abstractNumId w:val="25"/>
  </w:num>
  <w:num w:numId="19" w16cid:durableId="10214677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9386690">
    <w:abstractNumId w:val="14"/>
  </w:num>
  <w:num w:numId="21" w16cid:durableId="843712372">
    <w:abstractNumId w:val="12"/>
  </w:num>
  <w:num w:numId="22" w16cid:durableId="11979365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2481205">
    <w:abstractNumId w:val="15"/>
  </w:num>
  <w:num w:numId="24" w16cid:durableId="1087462136">
    <w:abstractNumId w:val="26"/>
  </w:num>
  <w:num w:numId="25" w16cid:durableId="679814330">
    <w:abstractNumId w:val="24"/>
  </w:num>
  <w:num w:numId="26" w16cid:durableId="974456184">
    <w:abstractNumId w:val="19"/>
  </w:num>
  <w:num w:numId="27" w16cid:durableId="1094744342">
    <w:abstractNumId w:val="11"/>
  </w:num>
  <w:num w:numId="28" w16cid:durableId="1229919638">
    <w:abstractNumId w:val="27"/>
  </w:num>
  <w:num w:numId="29" w16cid:durableId="466167267">
    <w:abstractNumId w:val="9"/>
  </w:num>
  <w:num w:numId="30" w16cid:durableId="1266501673">
    <w:abstractNumId w:val="7"/>
  </w:num>
  <w:num w:numId="31" w16cid:durableId="1694381877">
    <w:abstractNumId w:val="6"/>
  </w:num>
  <w:num w:numId="32" w16cid:durableId="1051733865">
    <w:abstractNumId w:val="5"/>
  </w:num>
  <w:num w:numId="33" w16cid:durableId="1627661936">
    <w:abstractNumId w:val="4"/>
  </w:num>
  <w:num w:numId="34" w16cid:durableId="1566060908">
    <w:abstractNumId w:val="8"/>
  </w:num>
  <w:num w:numId="35" w16cid:durableId="2116241476">
    <w:abstractNumId w:val="3"/>
  </w:num>
  <w:num w:numId="36" w16cid:durableId="2014799916">
    <w:abstractNumId w:val="2"/>
  </w:num>
  <w:num w:numId="37" w16cid:durableId="1564676672">
    <w:abstractNumId w:val="1"/>
  </w:num>
  <w:num w:numId="38" w16cid:durableId="1680959487">
    <w:abstractNumId w:val="0"/>
  </w:num>
  <w:num w:numId="39" w16cid:durableId="13913435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95984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285A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4563"/>
    <w:rsid w:val="003406C6"/>
    <w:rsid w:val="003418CC"/>
    <w:rsid w:val="003459BD"/>
    <w:rsid w:val="00347E63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829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089F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B7F18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DB7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C1E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5B3B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0505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6563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87BDB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261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FC488"/>
  <w15:docId w15:val="{BA66A115-DAC6-244B-9310-2F921A8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numbering" w:customStyle="1" w:styleId="ZZBullets11">
    <w:name w:val="ZZ Bullets11"/>
    <w:rsid w:val="005B7F1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2.health.vic.gov.au/about/publications/policiesandguidelines/Guidelines-for-male-circumcision-in-the-Victorian-public-hospital-system---information-for-health-professional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terms/"/>
    <ds:schemaRef ds:uri="6060adbb-d777-4224-ba8a-6d2bd1ccbbc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295D9-043A-4E1D-9FC8-69DF541F9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671</Words>
  <Characters>4711</Characters>
  <Application>Microsoft Office Word</Application>
  <DocSecurity>2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2: Aesthetic, cosmetic and other procedures that require identified medical indications</vt:lpstr>
    </vt:vector>
  </TitlesOfParts>
  <Manager/>
  <Company>Victoria State Government, Department of Health</Company>
  <LinksUpToDate>false</LinksUpToDate>
  <CharactersWithSpaces>5372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2: Aesthetic, cosmetic and other procedures that require identified medical indications</dc:title>
  <dc:subject>Planned Surgery Access Policy</dc:subject>
  <dc:creator>Operational Support and Improvement Policy </dc:creator>
  <cp:keywords/>
  <dc:description/>
  <cp:lastModifiedBy>Claire East (Health)</cp:lastModifiedBy>
  <cp:revision>8</cp:revision>
  <cp:lastPrinted>2020-03-30T03:28:00Z</cp:lastPrinted>
  <dcterms:created xsi:type="dcterms:W3CDTF">2024-03-14T01:06:00Z</dcterms:created>
  <dcterms:modified xsi:type="dcterms:W3CDTF">2024-05-24T00:33:00Z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0x010100F36292277EE0A84297425D21754237BC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2022-10-05T04:44:21Z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5b0953da-1d06-41e3-80b2-c3d82fe549a2</vt:lpwstr>
  </property>
  <property fmtid="{D5CDD505-2E9C-101B-9397-08002B2CF9AE}" pid="21" name="MSIP_Label_43e64453-338c-4f93-8a4d-0039a0a41f2a_ContentBits">
    <vt:lpwstr>2</vt:lpwstr>
  </property>
  <property fmtid="{D5CDD505-2E9C-101B-9397-08002B2CF9AE}" pid="22" name="MediaServiceImageTags">
    <vt:lpwstr/>
  </property>
</Properties>
</file>