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671FB"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605926" wp14:editId="6B48F27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E8F7A35"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408"/>
      </w:tblGrid>
      <w:tr w:rsidR="003B5733" w14:paraId="396D73E9" w14:textId="77777777" w:rsidTr="005E4E8E">
        <w:trPr>
          <w:trHeight w:val="504"/>
        </w:trPr>
        <w:tc>
          <w:tcPr>
            <w:tcW w:w="10408" w:type="dxa"/>
            <w:tcMar>
              <w:top w:w="1531" w:type="dxa"/>
              <w:left w:w="0" w:type="dxa"/>
              <w:right w:w="0" w:type="dxa"/>
            </w:tcMar>
          </w:tcPr>
          <w:p w14:paraId="41501CCB" w14:textId="7FFF5520" w:rsidR="003B5733" w:rsidRPr="003B5733" w:rsidRDefault="0097468B" w:rsidP="003B5733">
            <w:pPr>
              <w:pStyle w:val="Documenttitle"/>
            </w:pPr>
            <w:r>
              <w:t xml:space="preserve">Tobacco </w:t>
            </w:r>
            <w:proofErr w:type="gramStart"/>
            <w:r>
              <w:t>retailers</w:t>
            </w:r>
            <w:proofErr w:type="gramEnd"/>
            <w:r>
              <w:t xml:space="preserve"> fact sheet</w:t>
            </w:r>
          </w:p>
        </w:tc>
      </w:tr>
    </w:tbl>
    <w:p w14:paraId="6B5C6E50" w14:textId="7C71375F" w:rsidR="00A62D44" w:rsidRPr="00B57329" w:rsidRDefault="00580991" w:rsidP="001E0C5D">
      <w:pPr>
        <w:pStyle w:val="Heading2"/>
      </w:pPr>
      <w:r>
        <w:t>Q1 What is the new law regarding displaying tobacco products?</w:t>
      </w:r>
    </w:p>
    <w:p w14:paraId="52A23728" w14:textId="182999E9" w:rsidR="00580991" w:rsidRDefault="00580991" w:rsidP="002365B4">
      <w:pPr>
        <w:pStyle w:val="Body"/>
      </w:pPr>
      <w:r>
        <w:t xml:space="preserve">From 1 January 2011, the display of tobacco products </w:t>
      </w:r>
      <w:r w:rsidR="009F6999">
        <w:t>and</w:t>
      </w:r>
      <w:r>
        <w:t xml:space="preserve"> packaging is banned in retail outlets. </w:t>
      </w:r>
    </w:p>
    <w:p w14:paraId="20E9D9EA" w14:textId="7476A538" w:rsidR="00580991" w:rsidRDefault="00580991" w:rsidP="002365B4">
      <w:pPr>
        <w:pStyle w:val="Body"/>
      </w:pPr>
      <w:r>
        <w:t>Tobacco products must not be visible from anywhere inside or outside a retail outlet. Tobacco products include cigarettes, cigars and loose tobacco. The ban applies to vending machines.</w:t>
      </w:r>
    </w:p>
    <w:p w14:paraId="4019EBD0" w14:textId="1ED8202C" w:rsidR="00580991" w:rsidRDefault="00580991" w:rsidP="002365B4">
      <w:pPr>
        <w:pStyle w:val="Body"/>
      </w:pPr>
      <w:r>
        <w:t>An exemption applies to on-airport d</w:t>
      </w:r>
      <w:r w:rsidR="004B4941">
        <w:t>uty free shops and certified specialist tobacconists.</w:t>
      </w:r>
    </w:p>
    <w:p w14:paraId="24CB5D57" w14:textId="20EA5852" w:rsidR="004B4941" w:rsidRPr="00B57329" w:rsidRDefault="004B4941" w:rsidP="004B4941">
      <w:pPr>
        <w:pStyle w:val="Heading2"/>
      </w:pPr>
      <w:r>
        <w:t xml:space="preserve">Q2 Can I still sell tobacco products even though I </w:t>
      </w:r>
      <w:proofErr w:type="spellStart"/>
      <w:r>
        <w:t>can not</w:t>
      </w:r>
      <w:proofErr w:type="spellEnd"/>
      <w:r>
        <w:t xml:space="preserve"> display them?</w:t>
      </w:r>
    </w:p>
    <w:p w14:paraId="14036A5C" w14:textId="77777777" w:rsidR="004B4941" w:rsidRDefault="004B4941" w:rsidP="004B4941">
      <w:pPr>
        <w:pStyle w:val="Body"/>
      </w:pPr>
      <w:r>
        <w:t>Yes.</w:t>
      </w:r>
    </w:p>
    <w:p w14:paraId="77430C23" w14:textId="6214117A" w:rsidR="004B4941" w:rsidRDefault="004B4941" w:rsidP="004B4941">
      <w:pPr>
        <w:pStyle w:val="Body"/>
      </w:pPr>
      <w:r>
        <w:t>You can still sell tobacco products, but they must not be visible from anywhere inside or outside your retail outlet.</w:t>
      </w:r>
    </w:p>
    <w:p w14:paraId="51E0DBFB" w14:textId="3D97A414" w:rsidR="004B4941" w:rsidRPr="00B57329" w:rsidRDefault="004B4941" w:rsidP="004B4941">
      <w:pPr>
        <w:pStyle w:val="Heading2"/>
      </w:pPr>
      <w:r>
        <w:t>Q3 How can I prevent people from seeing tobacco products in my retail outlet?</w:t>
      </w:r>
    </w:p>
    <w:p w14:paraId="1A881259" w14:textId="389B3F86" w:rsidR="004B4941" w:rsidRDefault="005E4E8E" w:rsidP="004B4941">
      <w:pPr>
        <w:pStyle w:val="Body"/>
      </w:pPr>
      <w:r>
        <w:rPr>
          <w:noProof/>
        </w:rPr>
        <w:drawing>
          <wp:anchor distT="0" distB="0" distL="114300" distR="114300" simplePos="0" relativeHeight="251659264" behindDoc="0" locked="0" layoutInCell="1" allowOverlap="1" wp14:anchorId="374AEDA6" wp14:editId="4CC8C1FF">
            <wp:simplePos x="0" y="0"/>
            <wp:positionH relativeFrom="column">
              <wp:posOffset>44450</wp:posOffset>
            </wp:positionH>
            <wp:positionV relativeFrom="paragraph">
              <wp:posOffset>483235</wp:posOffset>
            </wp:positionV>
            <wp:extent cx="6479540" cy="411988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9540" cy="4119880"/>
                    </a:xfrm>
                    <a:prstGeom prst="rect">
                      <a:avLst/>
                    </a:prstGeom>
                  </pic:spPr>
                </pic:pic>
              </a:graphicData>
            </a:graphic>
          </wp:anchor>
        </w:drawing>
      </w:r>
      <w:r w:rsidR="004B4941">
        <w:t xml:space="preserve">There are </w:t>
      </w:r>
      <w:proofErr w:type="gramStart"/>
      <w:r w:rsidR="004B4941">
        <w:t>a number of</w:t>
      </w:r>
      <w:proofErr w:type="gramEnd"/>
      <w:r w:rsidR="004B4941">
        <w:t xml:space="preserve"> ways to cover or remove tobacco products completely out of view. The following diagrams show different examples:</w:t>
      </w:r>
    </w:p>
    <w:p w14:paraId="2D65A372" w14:textId="5C333F50" w:rsidR="005E4E8E" w:rsidRPr="00B57329" w:rsidRDefault="005E4E8E" w:rsidP="005E4E8E">
      <w:pPr>
        <w:pStyle w:val="Heading2"/>
      </w:pPr>
      <w:r>
        <w:rPr>
          <w:noProof/>
        </w:rPr>
        <w:lastRenderedPageBreak/>
        <w:drawing>
          <wp:anchor distT="0" distB="0" distL="114300" distR="114300" simplePos="0" relativeHeight="251660288" behindDoc="1" locked="0" layoutInCell="1" allowOverlap="1" wp14:anchorId="0BC98606" wp14:editId="7A769458">
            <wp:simplePos x="0" y="0"/>
            <wp:positionH relativeFrom="column">
              <wp:posOffset>5638165</wp:posOffset>
            </wp:positionH>
            <wp:positionV relativeFrom="paragraph">
              <wp:posOffset>0</wp:posOffset>
            </wp:positionV>
            <wp:extent cx="1170299" cy="1619250"/>
            <wp:effectExtent l="0" t="0" r="0" b="0"/>
            <wp:wrapTight wrapText="bothSides">
              <wp:wrapPolygon edited="0">
                <wp:start x="0" y="0"/>
                <wp:lineTo x="0" y="21346"/>
                <wp:lineTo x="21107" y="21346"/>
                <wp:lineTo x="211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70299" cy="1619250"/>
                    </a:xfrm>
                    <a:prstGeom prst="rect">
                      <a:avLst/>
                    </a:prstGeom>
                  </pic:spPr>
                </pic:pic>
              </a:graphicData>
            </a:graphic>
          </wp:anchor>
        </w:drawing>
      </w:r>
      <w:r>
        <w:t>Q4 How will people know I sell tobacco products?</w:t>
      </w:r>
    </w:p>
    <w:p w14:paraId="3DF084D0" w14:textId="45E33AA4" w:rsidR="005E4E8E" w:rsidRDefault="005E4E8E" w:rsidP="005E4E8E">
      <w:pPr>
        <w:pStyle w:val="Body"/>
      </w:pPr>
      <w:r>
        <w:t>You will be able to display an A4 size prescribed sign (pictured on right) which shows that you sell tobacco.</w:t>
      </w:r>
    </w:p>
    <w:p w14:paraId="0F28ED02" w14:textId="2001CA4E" w:rsidR="004B4941" w:rsidRDefault="005E4E8E" w:rsidP="005E4E8E">
      <w:pPr>
        <w:pStyle w:val="Body"/>
      </w:pPr>
      <w:r>
        <w:t xml:space="preserve">The sign will be produced by the Victorian Government and will be available from 1 December 2010 at &lt;www.health.vic.gov.au/tobaccoreforms&gt;, by telephoning the Tobacco Information Line on 1300 136 775, or by emailing </w:t>
      </w:r>
      <w:hyperlink r:id="rId17" w:history="1">
        <w:r w:rsidRPr="00031008">
          <w:rPr>
            <w:rStyle w:val="Hyperlink"/>
          </w:rPr>
          <w:t>tobacco.policy@health.vic.gov.au</w:t>
        </w:r>
      </w:hyperlink>
    </w:p>
    <w:p w14:paraId="29F852D8" w14:textId="00E5616B" w:rsidR="005E4E8E" w:rsidRPr="005E4E8E" w:rsidRDefault="005E4E8E" w:rsidP="005E4E8E">
      <w:pPr>
        <w:pStyle w:val="Body"/>
        <w:rPr>
          <w:rFonts w:eastAsia="Times New Roman"/>
          <w:b/>
          <w:color w:val="53565A"/>
          <w:sz w:val="32"/>
          <w:szCs w:val="28"/>
        </w:rPr>
      </w:pPr>
      <w:r w:rsidRPr="005E4E8E">
        <w:rPr>
          <w:rFonts w:eastAsia="Times New Roman"/>
          <w:b/>
          <w:color w:val="53565A"/>
          <w:sz w:val="32"/>
          <w:szCs w:val="28"/>
        </w:rPr>
        <w:t>Q5 How will people know what tobacco products I have for sale and how much they cost?</w:t>
      </w:r>
    </w:p>
    <w:p w14:paraId="7140B7F4" w14:textId="6E2DC1A5" w:rsidR="005E4E8E" w:rsidRDefault="005E4E8E" w:rsidP="005E4E8E">
      <w:pPr>
        <w:pStyle w:val="Body"/>
      </w:pPr>
      <w:r>
        <w:t>You may use one prescribed price board to advise customers of products available for sale. Further information about price boards will be provided in the updated Tobacco Retailer Guide which will be forwarded to all known tobacco retailers in late 2010.</w:t>
      </w:r>
    </w:p>
    <w:p w14:paraId="129EB90C" w14:textId="292A8149" w:rsidR="005E4E8E" w:rsidRPr="005E4E8E" w:rsidRDefault="005E4E8E" w:rsidP="005E4E8E">
      <w:pPr>
        <w:pStyle w:val="Body"/>
        <w:rPr>
          <w:rFonts w:eastAsia="Times New Roman"/>
          <w:b/>
          <w:color w:val="53565A"/>
          <w:sz w:val="32"/>
          <w:szCs w:val="28"/>
        </w:rPr>
      </w:pPr>
      <w:r w:rsidRPr="005E4E8E">
        <w:rPr>
          <w:rFonts w:eastAsia="Times New Roman"/>
          <w:b/>
          <w:color w:val="53565A"/>
          <w:sz w:val="32"/>
          <w:szCs w:val="28"/>
        </w:rPr>
        <w:t>Q6 How can I prevent people from seeing tobacco products when I open a cabinet to serve a customer or re-stock my shelves?</w:t>
      </w:r>
    </w:p>
    <w:p w14:paraId="30E780DD" w14:textId="7B17EC5E" w:rsidR="005E4E8E" w:rsidRDefault="005E4E8E" w:rsidP="005E4E8E">
      <w:pPr>
        <w:pStyle w:val="Body"/>
      </w:pPr>
      <w:r>
        <w:t>Retailers are expected to take all reasonable measures to prevent the visibility of tobacco products. For example, if cigarettes are stored in a cupboard, the cupboard doors must be closed as soon as the tobacco product has been removed.</w:t>
      </w:r>
    </w:p>
    <w:p w14:paraId="3C4778CD" w14:textId="77777777" w:rsidR="005E4E8E" w:rsidRPr="005E4E8E" w:rsidRDefault="005E4E8E" w:rsidP="005E4E8E">
      <w:pPr>
        <w:pStyle w:val="Body"/>
        <w:rPr>
          <w:rFonts w:eastAsia="Times New Roman"/>
          <w:b/>
          <w:color w:val="53565A"/>
          <w:sz w:val="32"/>
          <w:szCs w:val="28"/>
        </w:rPr>
      </w:pPr>
      <w:r w:rsidRPr="005E4E8E">
        <w:rPr>
          <w:rFonts w:eastAsia="Times New Roman"/>
          <w:b/>
          <w:color w:val="53565A"/>
          <w:sz w:val="32"/>
          <w:szCs w:val="28"/>
        </w:rPr>
        <w:t>Q7 Why is the display of tobacco products being banned?</w:t>
      </w:r>
    </w:p>
    <w:p w14:paraId="797A660C" w14:textId="0CFE005D" w:rsidR="005E4E8E" w:rsidRDefault="005E4E8E" w:rsidP="005E4E8E">
      <w:pPr>
        <w:pStyle w:val="Body"/>
      </w:pPr>
      <w:r>
        <w:t xml:space="preserve">Currently, tobacco products are more visible and widely available than any other consumer product, creating the impression that smoking is more popular than it </w:t>
      </w:r>
      <w:proofErr w:type="gramStart"/>
      <w:r>
        <w:t>actually is</w:t>
      </w:r>
      <w:proofErr w:type="gramEnd"/>
      <w:r>
        <w:t>. This high visibility makes it more likely that young people will start smoking and makes it harder for people to quit smoking.</w:t>
      </w:r>
    </w:p>
    <w:p w14:paraId="58EC4246" w14:textId="013660D2" w:rsidR="005E4E8E" w:rsidRDefault="005E4E8E" w:rsidP="005E4E8E">
      <w:pPr>
        <w:pStyle w:val="Body"/>
      </w:pPr>
      <w:r>
        <w:t>Current point-of-sale restrictions are detailed and often difficult for retailers to understand. These reforms will make it much simpler for retailers to ensure that they comply with the law.</w:t>
      </w:r>
    </w:p>
    <w:p w14:paraId="375A5A06" w14:textId="7C7CA6D0" w:rsidR="005E4E8E" w:rsidRPr="005E4E8E" w:rsidRDefault="005E4E8E" w:rsidP="005E4E8E">
      <w:pPr>
        <w:pStyle w:val="Body"/>
        <w:rPr>
          <w:rFonts w:eastAsia="Times New Roman"/>
          <w:b/>
          <w:color w:val="53565A"/>
          <w:sz w:val="32"/>
          <w:szCs w:val="28"/>
        </w:rPr>
      </w:pPr>
      <w:r w:rsidRPr="005E4E8E">
        <w:rPr>
          <w:rFonts w:eastAsia="Times New Roman"/>
          <w:b/>
          <w:color w:val="53565A"/>
          <w:sz w:val="32"/>
          <w:szCs w:val="28"/>
        </w:rPr>
        <w:t>Q8 What are the penalties?</w:t>
      </w:r>
    </w:p>
    <w:tbl>
      <w:tblPr>
        <w:tblStyle w:val="GridTable4-Accent1"/>
        <w:tblW w:w="10201" w:type="dxa"/>
        <w:tblLook w:val="06A0" w:firstRow="1" w:lastRow="0" w:firstColumn="1" w:lastColumn="0" w:noHBand="1" w:noVBand="1"/>
      </w:tblPr>
      <w:tblGrid>
        <w:gridCol w:w="3114"/>
        <w:gridCol w:w="1701"/>
        <w:gridCol w:w="1843"/>
        <w:gridCol w:w="1701"/>
        <w:gridCol w:w="1842"/>
      </w:tblGrid>
      <w:tr w:rsidR="005C6396" w14:paraId="66AAD9B1" w14:textId="77777777" w:rsidTr="005C6396">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114" w:type="dxa"/>
          </w:tcPr>
          <w:p w14:paraId="203C74A5" w14:textId="22424E3E" w:rsidR="005E4E8E" w:rsidRPr="005C6396" w:rsidRDefault="005E4E8E" w:rsidP="00343CCC">
            <w:pPr>
              <w:pStyle w:val="Tablecolhead"/>
              <w:rPr>
                <w:b/>
                <w:bCs w:val="0"/>
                <w:color w:val="FFFFFF" w:themeColor="background1"/>
              </w:rPr>
            </w:pPr>
            <w:r w:rsidRPr="005C6396">
              <w:rPr>
                <w:b/>
                <w:bCs w:val="0"/>
                <w:color w:val="FFFFFF" w:themeColor="background1"/>
              </w:rPr>
              <w:t>Breach of tobacco law</w:t>
            </w:r>
          </w:p>
        </w:tc>
        <w:tc>
          <w:tcPr>
            <w:tcW w:w="3544" w:type="dxa"/>
            <w:gridSpan w:val="2"/>
          </w:tcPr>
          <w:p w14:paraId="619448C2" w14:textId="7185F697" w:rsidR="005E4E8E" w:rsidRPr="005C6396" w:rsidRDefault="005E4E8E" w:rsidP="00343CCC">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5C6396">
              <w:rPr>
                <w:b/>
                <w:bCs w:val="0"/>
                <w:color w:val="FFFFFF" w:themeColor="background1"/>
              </w:rPr>
              <w:t>Infringement notice</w:t>
            </w:r>
          </w:p>
        </w:tc>
        <w:tc>
          <w:tcPr>
            <w:tcW w:w="3543" w:type="dxa"/>
            <w:gridSpan w:val="2"/>
          </w:tcPr>
          <w:p w14:paraId="59FD54CB" w14:textId="479CA4DF" w:rsidR="005E4E8E" w:rsidRPr="005C6396" w:rsidRDefault="005E4E8E" w:rsidP="00343CCC">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5C6396">
              <w:rPr>
                <w:b/>
                <w:bCs w:val="0"/>
                <w:color w:val="FFFFFF" w:themeColor="background1"/>
              </w:rPr>
              <w:t>Maximum penaltie</w:t>
            </w:r>
            <w:r w:rsidR="005C6396" w:rsidRPr="005C6396">
              <w:rPr>
                <w:b/>
                <w:bCs w:val="0"/>
                <w:color w:val="FFFFFF" w:themeColor="background1"/>
              </w:rPr>
              <w:t>s –</w:t>
            </w:r>
            <w:r w:rsidRPr="005C6396">
              <w:rPr>
                <w:b/>
                <w:bCs w:val="0"/>
                <w:color w:val="FFFFFF" w:themeColor="background1"/>
              </w:rPr>
              <w:t xml:space="preserve"> Magistrates Court</w:t>
            </w:r>
          </w:p>
        </w:tc>
      </w:tr>
      <w:tr w:rsidR="005C6396" w14:paraId="5D24D009" w14:textId="77777777" w:rsidTr="005C6396">
        <w:trPr>
          <w:trHeight w:val="695"/>
        </w:trPr>
        <w:tc>
          <w:tcPr>
            <w:cnfStyle w:val="001000000000" w:firstRow="0" w:lastRow="0" w:firstColumn="1" w:lastColumn="0" w:oddVBand="0" w:evenVBand="0" w:oddHBand="0" w:evenHBand="0" w:firstRowFirstColumn="0" w:firstRowLastColumn="0" w:lastRowFirstColumn="0" w:lastRowLastColumn="0"/>
            <w:tcW w:w="3114" w:type="dxa"/>
          </w:tcPr>
          <w:p w14:paraId="7ACD8023" w14:textId="521A868F" w:rsidR="005E4E8E" w:rsidRDefault="005E4E8E" w:rsidP="00343CCC">
            <w:pPr>
              <w:pStyle w:val="Tabletext"/>
            </w:pPr>
          </w:p>
        </w:tc>
        <w:tc>
          <w:tcPr>
            <w:tcW w:w="1701" w:type="dxa"/>
          </w:tcPr>
          <w:p w14:paraId="47B31C91" w14:textId="405130E6" w:rsidR="005E4E8E" w:rsidRPr="005C6396" w:rsidRDefault="005E4E8E" w:rsidP="00343CCC">
            <w:pPr>
              <w:pStyle w:val="Tabletext"/>
              <w:cnfStyle w:val="000000000000" w:firstRow="0" w:lastRow="0" w:firstColumn="0" w:lastColumn="0" w:oddVBand="0" w:evenVBand="0" w:oddHBand="0" w:evenHBand="0" w:firstRowFirstColumn="0" w:firstRowLastColumn="0" w:lastRowFirstColumn="0" w:lastRowLastColumn="0"/>
              <w:rPr>
                <w:b/>
                <w:color w:val="53565A"/>
              </w:rPr>
            </w:pPr>
            <w:r w:rsidRPr="005C6396">
              <w:rPr>
                <w:b/>
                <w:color w:val="53565A"/>
              </w:rPr>
              <w:t>Natural person</w:t>
            </w:r>
          </w:p>
        </w:tc>
        <w:tc>
          <w:tcPr>
            <w:tcW w:w="1843" w:type="dxa"/>
          </w:tcPr>
          <w:p w14:paraId="04A1EE8E" w14:textId="25DD4478" w:rsidR="005E4E8E" w:rsidRPr="005C6396" w:rsidRDefault="005E4E8E" w:rsidP="005C6396">
            <w:pPr>
              <w:pStyle w:val="Tablebullet1"/>
              <w:numPr>
                <w:ilvl w:val="0"/>
                <w:numId w:val="0"/>
              </w:numPr>
              <w:ind w:left="227" w:hanging="227"/>
              <w:cnfStyle w:val="000000000000" w:firstRow="0" w:lastRow="0" w:firstColumn="0" w:lastColumn="0" w:oddVBand="0" w:evenVBand="0" w:oddHBand="0" w:evenHBand="0" w:firstRowFirstColumn="0" w:firstRowLastColumn="0" w:lastRowFirstColumn="0" w:lastRowLastColumn="0"/>
              <w:rPr>
                <w:b/>
                <w:color w:val="53565A"/>
              </w:rPr>
            </w:pPr>
            <w:r w:rsidRPr="005C6396">
              <w:rPr>
                <w:b/>
                <w:color w:val="53565A"/>
              </w:rPr>
              <w:t>Body</w:t>
            </w:r>
            <w:r w:rsidR="005C6396" w:rsidRPr="005C6396">
              <w:rPr>
                <w:b/>
                <w:color w:val="53565A"/>
              </w:rPr>
              <w:t xml:space="preserve"> </w:t>
            </w:r>
            <w:r w:rsidRPr="005C6396">
              <w:rPr>
                <w:b/>
                <w:color w:val="53565A"/>
              </w:rPr>
              <w:t>corporate</w:t>
            </w:r>
          </w:p>
        </w:tc>
        <w:tc>
          <w:tcPr>
            <w:tcW w:w="1701" w:type="dxa"/>
          </w:tcPr>
          <w:p w14:paraId="05EC62FF" w14:textId="4A7B2296" w:rsidR="005E4E8E" w:rsidRPr="005C6396" w:rsidRDefault="005E4E8E" w:rsidP="005E4E8E">
            <w:pPr>
              <w:pStyle w:val="Tablebullet2"/>
              <w:numPr>
                <w:ilvl w:val="0"/>
                <w:numId w:val="0"/>
              </w:numPr>
              <w:cnfStyle w:val="000000000000" w:firstRow="0" w:lastRow="0" w:firstColumn="0" w:lastColumn="0" w:oddVBand="0" w:evenVBand="0" w:oddHBand="0" w:evenHBand="0" w:firstRowFirstColumn="0" w:firstRowLastColumn="0" w:lastRowFirstColumn="0" w:lastRowLastColumn="0"/>
              <w:rPr>
                <w:b/>
                <w:color w:val="53565A"/>
              </w:rPr>
            </w:pPr>
            <w:r w:rsidRPr="005C6396">
              <w:rPr>
                <w:b/>
                <w:color w:val="53565A"/>
              </w:rPr>
              <w:t>Natural person</w:t>
            </w:r>
          </w:p>
        </w:tc>
        <w:tc>
          <w:tcPr>
            <w:tcW w:w="1842" w:type="dxa"/>
          </w:tcPr>
          <w:p w14:paraId="5555F1A9" w14:textId="078335F1" w:rsidR="005E4E8E" w:rsidRPr="005C6396" w:rsidRDefault="005E4E8E" w:rsidP="005E4E8E">
            <w:pPr>
              <w:pStyle w:val="Tablebullet2"/>
              <w:numPr>
                <w:ilvl w:val="0"/>
                <w:numId w:val="0"/>
              </w:numPr>
              <w:cnfStyle w:val="000000000000" w:firstRow="0" w:lastRow="0" w:firstColumn="0" w:lastColumn="0" w:oddVBand="0" w:evenVBand="0" w:oddHBand="0" w:evenHBand="0" w:firstRowFirstColumn="0" w:firstRowLastColumn="0" w:lastRowFirstColumn="0" w:lastRowLastColumn="0"/>
              <w:rPr>
                <w:b/>
                <w:color w:val="53565A"/>
              </w:rPr>
            </w:pPr>
            <w:r w:rsidRPr="005C6396">
              <w:rPr>
                <w:b/>
                <w:color w:val="53565A"/>
              </w:rPr>
              <w:t>Body corporate</w:t>
            </w:r>
          </w:p>
        </w:tc>
      </w:tr>
      <w:tr w:rsidR="005C6396" w14:paraId="3574F77A" w14:textId="77777777" w:rsidTr="005C6396">
        <w:trPr>
          <w:trHeight w:val="740"/>
        </w:trPr>
        <w:tc>
          <w:tcPr>
            <w:cnfStyle w:val="001000000000" w:firstRow="0" w:lastRow="0" w:firstColumn="1" w:lastColumn="0" w:oddVBand="0" w:evenVBand="0" w:oddHBand="0" w:evenHBand="0" w:firstRowFirstColumn="0" w:firstRowLastColumn="0" w:lastRowFirstColumn="0" w:lastRowLastColumn="0"/>
            <w:tcW w:w="3114" w:type="dxa"/>
          </w:tcPr>
          <w:p w14:paraId="684DDBD5" w14:textId="4655A08A" w:rsidR="005E4E8E" w:rsidRPr="002365B4" w:rsidRDefault="005E4E8E" w:rsidP="005E4E8E">
            <w:pPr>
              <w:pStyle w:val="Tabletext6pt"/>
            </w:pPr>
            <w:r w:rsidRPr="005C6396">
              <w:rPr>
                <w:b w:val="0"/>
                <w:bCs w:val="0"/>
              </w:rPr>
              <w:t>Incorrect display of tobacco product or price board, including non-display of Graphic health warning sign</w:t>
            </w:r>
          </w:p>
        </w:tc>
        <w:tc>
          <w:tcPr>
            <w:tcW w:w="1701" w:type="dxa"/>
          </w:tcPr>
          <w:p w14:paraId="6896E9C6" w14:textId="30AAB139" w:rsidR="005E4E8E" w:rsidRPr="002365B4" w:rsidRDefault="005E4E8E" w:rsidP="00343CCC">
            <w:pPr>
              <w:pStyle w:val="Tabletext6pt"/>
              <w:cnfStyle w:val="000000000000" w:firstRow="0" w:lastRow="0" w:firstColumn="0" w:lastColumn="0" w:oddVBand="0" w:evenVBand="0" w:oddHBand="0" w:evenHBand="0" w:firstRowFirstColumn="0" w:firstRowLastColumn="0" w:lastRowFirstColumn="0" w:lastRowLastColumn="0"/>
            </w:pPr>
            <w:r>
              <w:t>3 Penalty Units</w:t>
            </w:r>
            <w:r w:rsidRPr="002365B4">
              <w:t xml:space="preserve"> </w:t>
            </w:r>
          </w:p>
        </w:tc>
        <w:tc>
          <w:tcPr>
            <w:tcW w:w="1843" w:type="dxa"/>
          </w:tcPr>
          <w:p w14:paraId="417AFBE4" w14:textId="3D3B7593" w:rsidR="005E4E8E" w:rsidRDefault="005E4E8E" w:rsidP="005E4E8E">
            <w:pPr>
              <w:pStyle w:val="Tablebullet1"/>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t>30 Penalty Units</w:t>
            </w:r>
          </w:p>
        </w:tc>
        <w:tc>
          <w:tcPr>
            <w:tcW w:w="1701" w:type="dxa"/>
          </w:tcPr>
          <w:p w14:paraId="2E267C54" w14:textId="195FF16C" w:rsidR="005E4E8E" w:rsidRPr="00924D74" w:rsidRDefault="005E4E8E" w:rsidP="005E4E8E">
            <w:pPr>
              <w:pStyle w:val="Tablebullet2"/>
              <w:numPr>
                <w:ilvl w:val="0"/>
                <w:numId w:val="0"/>
              </w:numPr>
              <w:cnfStyle w:val="000000000000" w:firstRow="0" w:lastRow="0" w:firstColumn="0" w:lastColumn="0" w:oddVBand="0" w:evenVBand="0" w:oddHBand="0" w:evenHBand="0" w:firstRowFirstColumn="0" w:firstRowLastColumn="0" w:lastRowFirstColumn="0" w:lastRowLastColumn="0"/>
            </w:pPr>
            <w:r>
              <w:t>60 Penalty Units</w:t>
            </w:r>
          </w:p>
        </w:tc>
        <w:tc>
          <w:tcPr>
            <w:tcW w:w="1842" w:type="dxa"/>
          </w:tcPr>
          <w:p w14:paraId="603D9473" w14:textId="2585104E" w:rsidR="005E4E8E" w:rsidRPr="00924D74" w:rsidRDefault="00F73C11" w:rsidP="005E4E8E">
            <w:pPr>
              <w:pStyle w:val="Tablebullet2"/>
              <w:numPr>
                <w:ilvl w:val="0"/>
                <w:numId w:val="0"/>
              </w:numPr>
              <w:cnfStyle w:val="000000000000" w:firstRow="0" w:lastRow="0" w:firstColumn="0" w:lastColumn="0" w:oddVBand="0" w:evenVBand="0" w:oddHBand="0" w:evenHBand="0" w:firstRowFirstColumn="0" w:firstRowLastColumn="0" w:lastRowFirstColumn="0" w:lastRowLastColumn="0"/>
            </w:pPr>
            <w:r>
              <w:t>3</w:t>
            </w:r>
            <w:r w:rsidR="005E4E8E">
              <w:t xml:space="preserve">00 Penalty Units </w:t>
            </w:r>
          </w:p>
        </w:tc>
      </w:tr>
    </w:tbl>
    <w:p w14:paraId="33289FC3" w14:textId="78EE4C87" w:rsidR="005E4E8E" w:rsidRDefault="00471CF1" w:rsidP="00200176">
      <w:pPr>
        <w:pStyle w:val="Body"/>
        <w:rPr>
          <w:rFonts w:eastAsia="Times New Roman"/>
          <w:sz w:val="20"/>
        </w:rPr>
      </w:pPr>
      <w:r w:rsidRPr="00471CF1">
        <w:rPr>
          <w:rFonts w:eastAsia="Times New Roman"/>
          <w:sz w:val="20"/>
        </w:rPr>
        <w:t>Penalty units are indexed annually. For current penalty unit values, visit the Department of Treasury and Finance website &lt;</w:t>
      </w:r>
      <w:r w:rsidR="009F6999" w:rsidRPr="009F6999">
        <w:rPr>
          <w:rFonts w:eastAsia="Times New Roman"/>
          <w:sz w:val="20"/>
        </w:rPr>
        <w:t>https://www.dtf.vic.gov.au/financial-management-government/indexation-fees-and-penalties</w:t>
      </w:r>
      <w:r w:rsidRPr="00471CF1">
        <w:rPr>
          <w:rFonts w:eastAsia="Times New Roman"/>
          <w:sz w:val="20"/>
        </w:rPr>
        <w:t xml:space="preserve">&gt; </w:t>
      </w:r>
    </w:p>
    <w:p w14:paraId="1B555699" w14:textId="77777777" w:rsidR="00471CF1" w:rsidRDefault="00471CF1" w:rsidP="00200176">
      <w:pPr>
        <w:pStyle w:val="Body"/>
        <w:rPr>
          <w:rFonts w:eastAsia="Times New Roman"/>
          <w:sz w:val="20"/>
        </w:rPr>
      </w:pPr>
    </w:p>
    <w:p w14:paraId="221F9FCA" w14:textId="3243F80F" w:rsidR="009A7EAC" w:rsidRPr="00471CF1" w:rsidRDefault="009A7EAC" w:rsidP="00200176">
      <w:pPr>
        <w:pStyle w:val="Body"/>
        <w:rPr>
          <w:rFonts w:eastAsia="Times New Roman"/>
          <w:sz w:val="20"/>
        </w:rPr>
      </w:pPr>
      <w:r w:rsidRPr="009A7EAC">
        <w:rPr>
          <w:rFonts w:eastAsia="Times New Roman"/>
          <w:sz w:val="20"/>
        </w:rPr>
        <w:t>For further information please call the Tobacco Information Line or visit &lt;</w:t>
      </w:r>
      <w:r w:rsidR="009F6999">
        <w:rPr>
          <w:rFonts w:eastAsia="Times New Roman"/>
          <w:sz w:val="20"/>
        </w:rPr>
        <w:t>https://</w:t>
      </w:r>
      <w:r w:rsidRPr="009A7EAC">
        <w:rPr>
          <w:rFonts w:eastAsia="Times New Roman"/>
          <w:sz w:val="20"/>
        </w:rPr>
        <w:t>www.health.vic.gov.au/tobaccoreforms&gt;</w:t>
      </w:r>
    </w:p>
    <w:p w14:paraId="75EEAC99" w14:textId="77777777" w:rsidR="00162CA9" w:rsidRDefault="00162CA9" w:rsidP="00162CA9">
      <w:pPr>
        <w:pStyle w:val="Body"/>
      </w:pPr>
    </w:p>
    <w:p w14:paraId="2B290288" w14:textId="6F7F4163" w:rsidR="009A7EAC" w:rsidRPr="00746339" w:rsidRDefault="009A7EAC" w:rsidP="009A7EAC">
      <w:pPr>
        <w:pStyle w:val="Body"/>
        <w:rPr>
          <w:color w:val="A6A6A6" w:themeColor="background1" w:themeShade="A6"/>
        </w:rPr>
      </w:pPr>
      <w:r w:rsidRPr="00746339">
        <w:rPr>
          <w:color w:val="A6A6A6" w:themeColor="background1" w:themeShade="A6"/>
        </w:rPr>
        <w:t xml:space="preserve">DISCLAIMER: Please note that any advice contained in this fact sheet is for general guidance only. The Department of Health does not accept any liability for any loss or damage suffered </w:t>
      </w:r>
      <w:proofErr w:type="gramStart"/>
      <w:r w:rsidRPr="00746339">
        <w:rPr>
          <w:color w:val="A6A6A6" w:themeColor="background1" w:themeShade="A6"/>
        </w:rPr>
        <w:t>as a result of</w:t>
      </w:r>
      <w:proofErr w:type="gramEnd"/>
      <w:r w:rsidRPr="00746339">
        <w:rPr>
          <w:color w:val="A6A6A6" w:themeColor="background1" w:themeShade="A6"/>
        </w:rPr>
        <w:t xml:space="preserve"> reliance </w:t>
      </w:r>
      <w:r w:rsidRPr="00746339">
        <w:rPr>
          <w:color w:val="A6A6A6" w:themeColor="background1" w:themeShade="A6"/>
        </w:rPr>
        <w:lastRenderedPageBreak/>
        <w:t>upon the advice contained in this fact sheet. Nothing in this fact sheet should replace seeking appropriate legal advice.</w:t>
      </w:r>
    </w:p>
    <w:sectPr w:rsidR="009A7EAC" w:rsidRPr="0074633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C3A0" w14:textId="77777777" w:rsidR="00F465CD" w:rsidRDefault="00F465CD">
      <w:r>
        <w:separator/>
      </w:r>
    </w:p>
  </w:endnote>
  <w:endnote w:type="continuationSeparator" w:id="0">
    <w:p w14:paraId="57939585" w14:textId="77777777" w:rsidR="00F465CD" w:rsidRDefault="00F4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C7FF" w14:textId="77777777" w:rsidR="0075459A" w:rsidRDefault="00754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00E3" w14:textId="49389591"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3DBFD11" wp14:editId="7988334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84C8" w14:textId="76F8FE16"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A757" w14:textId="17C4E103"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5F13" w14:textId="77777777" w:rsidR="00F465CD" w:rsidRDefault="00F465CD" w:rsidP="002862F1">
      <w:pPr>
        <w:spacing w:before="120"/>
      </w:pPr>
      <w:r>
        <w:separator/>
      </w:r>
    </w:p>
  </w:footnote>
  <w:footnote w:type="continuationSeparator" w:id="0">
    <w:p w14:paraId="28CE58E3" w14:textId="77777777" w:rsidR="00F465CD" w:rsidRDefault="00F46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D4FA" w14:textId="77777777" w:rsidR="0075459A" w:rsidRDefault="00754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8FB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6E5E" w14:textId="77777777" w:rsidR="0075459A" w:rsidRDefault="00754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76732595">
    <w:abstractNumId w:val="10"/>
  </w:num>
  <w:num w:numId="2" w16cid:durableId="1784182477">
    <w:abstractNumId w:val="17"/>
  </w:num>
  <w:num w:numId="3" w16cid:durableId="5719375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02394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22545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23276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6397020">
    <w:abstractNumId w:val="21"/>
  </w:num>
  <w:num w:numId="8" w16cid:durableId="1211914040">
    <w:abstractNumId w:val="16"/>
  </w:num>
  <w:num w:numId="9" w16cid:durableId="1784037309">
    <w:abstractNumId w:val="20"/>
  </w:num>
  <w:num w:numId="10" w16cid:durableId="739522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3449657">
    <w:abstractNumId w:val="22"/>
  </w:num>
  <w:num w:numId="12" w16cid:durableId="1896548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6370874">
    <w:abstractNumId w:val="18"/>
  </w:num>
  <w:num w:numId="14" w16cid:durableId="20649827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26583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48420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83138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2165571">
    <w:abstractNumId w:val="24"/>
  </w:num>
  <w:num w:numId="19" w16cid:durableId="18689844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0508310">
    <w:abstractNumId w:val="14"/>
  </w:num>
  <w:num w:numId="21" w16cid:durableId="1747922946">
    <w:abstractNumId w:val="12"/>
  </w:num>
  <w:num w:numId="22" w16cid:durableId="934746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3488232">
    <w:abstractNumId w:val="15"/>
  </w:num>
  <w:num w:numId="24" w16cid:durableId="1248730384">
    <w:abstractNumId w:val="25"/>
  </w:num>
  <w:num w:numId="25" w16cid:durableId="1111779807">
    <w:abstractNumId w:val="23"/>
  </w:num>
  <w:num w:numId="26" w16cid:durableId="285084616">
    <w:abstractNumId w:val="19"/>
  </w:num>
  <w:num w:numId="27" w16cid:durableId="2030443887">
    <w:abstractNumId w:val="11"/>
  </w:num>
  <w:num w:numId="28" w16cid:durableId="626475380">
    <w:abstractNumId w:val="26"/>
  </w:num>
  <w:num w:numId="29" w16cid:durableId="1580602401">
    <w:abstractNumId w:val="9"/>
  </w:num>
  <w:num w:numId="30" w16cid:durableId="38484268">
    <w:abstractNumId w:val="7"/>
  </w:num>
  <w:num w:numId="31" w16cid:durableId="26639315">
    <w:abstractNumId w:val="6"/>
  </w:num>
  <w:num w:numId="32" w16cid:durableId="1047604450">
    <w:abstractNumId w:val="5"/>
  </w:num>
  <w:num w:numId="33" w16cid:durableId="52042122">
    <w:abstractNumId w:val="4"/>
  </w:num>
  <w:num w:numId="34" w16cid:durableId="927614378">
    <w:abstractNumId w:val="8"/>
  </w:num>
  <w:num w:numId="35" w16cid:durableId="2014912172">
    <w:abstractNumId w:val="3"/>
  </w:num>
  <w:num w:numId="36" w16cid:durableId="1531146183">
    <w:abstractNumId w:val="2"/>
  </w:num>
  <w:num w:numId="37" w16cid:durableId="1436095959">
    <w:abstractNumId w:val="1"/>
  </w:num>
  <w:num w:numId="38" w16cid:durableId="1585256898">
    <w:abstractNumId w:val="0"/>
  </w:num>
  <w:num w:numId="39" w16cid:durableId="7244517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8B"/>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1CF1"/>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4941"/>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91"/>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6396"/>
    <w:rsid w:val="005D07B8"/>
    <w:rsid w:val="005D6597"/>
    <w:rsid w:val="005E14E7"/>
    <w:rsid w:val="005E26A3"/>
    <w:rsid w:val="005E2ECB"/>
    <w:rsid w:val="005E447E"/>
    <w:rsid w:val="005E4E8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339"/>
    <w:rsid w:val="0074696E"/>
    <w:rsid w:val="00750135"/>
    <w:rsid w:val="00750EC2"/>
    <w:rsid w:val="00752B28"/>
    <w:rsid w:val="007541A9"/>
    <w:rsid w:val="0075459A"/>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05C4"/>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468B"/>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EAC"/>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999"/>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0002"/>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5CD"/>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3C11"/>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05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E4E8E"/>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table" w:styleId="GridTable4-Accent1">
    <w:name w:val="Grid Table 4 Accent 1"/>
    <w:basedOn w:val="TableNormal"/>
    <w:uiPriority w:val="49"/>
    <w:rsid w:val="005C63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obacco.policy@health.vic.gov.a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B3770-F537-4701-BA80-3DC8AC33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retailers fact sheet</dc:title>
  <dc:subject/>
  <dc:creator/>
  <cp:keywords/>
  <dc:description/>
  <cp:lastModifiedBy/>
  <cp:revision>1</cp:revision>
  <dcterms:created xsi:type="dcterms:W3CDTF">2024-04-12T00:10:00Z</dcterms:created>
  <dcterms:modified xsi:type="dcterms:W3CDTF">2024-04-12T00:12:00Z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2024-04-12T00:11:10Z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40bab869-c79d-42a0-a564-6403b1278a50</vt:lpwstr>
  </property>
  <property fmtid="{D5CDD505-2E9C-101B-9397-08002B2CF9AE}" pid="8" name="MSIP_Label_efdf5488-3066-4b6c-8fea-9472b8a1f34c_ContentBits">
    <vt:lpwstr>0</vt:lpwstr>
  </property>
</Properties>
</file>